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FA98" w14:textId="0C7661A1" w:rsidR="00AC1478" w:rsidRPr="00286CFE" w:rsidRDefault="003229CE">
      <w:pPr>
        <w:rPr>
          <w:rFonts w:ascii="Arial" w:hAnsi="Arial" w:cs="Arial"/>
          <w:b/>
          <w:sz w:val="24"/>
          <w:szCs w:val="24"/>
        </w:rPr>
      </w:pPr>
      <w:r>
        <w:rPr>
          <w:rFonts w:ascii="Arial" w:hAnsi="Arial" w:cs="Arial"/>
          <w:b/>
          <w:sz w:val="24"/>
          <w:szCs w:val="24"/>
        </w:rPr>
        <w:t>Board Decision</w:t>
      </w:r>
      <w:r w:rsidR="00036F94">
        <w:rPr>
          <w:rFonts w:ascii="Arial" w:hAnsi="Arial" w:cs="Arial"/>
          <w:b/>
          <w:sz w:val="24"/>
          <w:szCs w:val="24"/>
        </w:rPr>
        <w:t>s – Feedback to Tenant</w:t>
      </w:r>
      <w:r w:rsidR="00C602D4">
        <w:rPr>
          <w:rFonts w:ascii="Arial" w:hAnsi="Arial" w:cs="Arial"/>
          <w:b/>
          <w:sz w:val="24"/>
          <w:szCs w:val="24"/>
        </w:rPr>
        <w:t>s</w:t>
      </w:r>
    </w:p>
    <w:tbl>
      <w:tblPr>
        <w:tblStyle w:val="TableGrid"/>
        <w:tblW w:w="14029" w:type="dxa"/>
        <w:tblLook w:val="04A0" w:firstRow="1" w:lastRow="0" w:firstColumn="1" w:lastColumn="0" w:noHBand="0" w:noVBand="1"/>
      </w:tblPr>
      <w:tblGrid>
        <w:gridCol w:w="2405"/>
        <w:gridCol w:w="11624"/>
      </w:tblGrid>
      <w:tr w:rsidR="00C3078B" w:rsidRPr="00286CFE" w14:paraId="190E7A1F" w14:textId="77777777" w:rsidTr="00482D6A">
        <w:tc>
          <w:tcPr>
            <w:tcW w:w="2405" w:type="dxa"/>
            <w:shd w:val="clear" w:color="auto" w:fill="B4C6E7" w:themeFill="accent5" w:themeFillTint="66"/>
          </w:tcPr>
          <w:p w14:paraId="689E5E13" w14:textId="7CFD4165" w:rsidR="005817DD" w:rsidRPr="00286CFE" w:rsidRDefault="005F4417">
            <w:pPr>
              <w:rPr>
                <w:rFonts w:ascii="Arial" w:hAnsi="Arial" w:cs="Arial"/>
                <w:b/>
                <w:sz w:val="24"/>
                <w:szCs w:val="24"/>
              </w:rPr>
            </w:pPr>
            <w:r>
              <w:rPr>
                <w:rFonts w:ascii="Arial" w:hAnsi="Arial" w:cs="Arial"/>
                <w:b/>
                <w:sz w:val="24"/>
                <w:szCs w:val="24"/>
              </w:rPr>
              <w:t xml:space="preserve">Board </w:t>
            </w:r>
            <w:r w:rsidR="003229CE">
              <w:rPr>
                <w:rFonts w:ascii="Arial" w:hAnsi="Arial" w:cs="Arial"/>
                <w:b/>
                <w:sz w:val="24"/>
                <w:szCs w:val="24"/>
              </w:rPr>
              <w:t>Meeting</w:t>
            </w:r>
            <w:r w:rsidR="005817DD" w:rsidRPr="00286CFE">
              <w:rPr>
                <w:rFonts w:ascii="Arial" w:hAnsi="Arial" w:cs="Arial"/>
                <w:b/>
                <w:sz w:val="24"/>
                <w:szCs w:val="24"/>
              </w:rPr>
              <w:t>:</w:t>
            </w:r>
          </w:p>
          <w:p w14:paraId="1E8BFC56" w14:textId="77777777" w:rsidR="005817DD" w:rsidRPr="00286CFE" w:rsidRDefault="005817DD">
            <w:pPr>
              <w:rPr>
                <w:rFonts w:ascii="Arial" w:hAnsi="Arial" w:cs="Arial"/>
                <w:b/>
                <w:sz w:val="24"/>
                <w:szCs w:val="24"/>
              </w:rPr>
            </w:pPr>
          </w:p>
        </w:tc>
        <w:tc>
          <w:tcPr>
            <w:tcW w:w="11624" w:type="dxa"/>
            <w:shd w:val="clear" w:color="auto" w:fill="B4C6E7" w:themeFill="accent5" w:themeFillTint="66"/>
          </w:tcPr>
          <w:p w14:paraId="7B5C2543" w14:textId="251ABE77" w:rsidR="005817DD" w:rsidRPr="003229CE" w:rsidRDefault="003229CE">
            <w:pPr>
              <w:rPr>
                <w:rFonts w:ascii="Arial" w:hAnsi="Arial" w:cs="Arial"/>
                <w:sz w:val="24"/>
                <w:szCs w:val="24"/>
              </w:rPr>
            </w:pPr>
            <w:r w:rsidRPr="003229CE">
              <w:rPr>
                <w:rFonts w:ascii="Arial" w:hAnsi="Arial" w:cs="Arial"/>
                <w:sz w:val="24"/>
                <w:szCs w:val="24"/>
              </w:rPr>
              <w:t>St Leger Homes Board</w:t>
            </w:r>
          </w:p>
        </w:tc>
      </w:tr>
      <w:tr w:rsidR="00C3078B" w:rsidRPr="00286CFE" w14:paraId="29CC1C2B" w14:textId="77777777" w:rsidTr="00482D6A">
        <w:tc>
          <w:tcPr>
            <w:tcW w:w="2405" w:type="dxa"/>
            <w:shd w:val="clear" w:color="auto" w:fill="B4C6E7" w:themeFill="accent5" w:themeFillTint="66"/>
          </w:tcPr>
          <w:p w14:paraId="5B6FB7A0" w14:textId="77777777" w:rsidR="005817DD" w:rsidRPr="00286CFE" w:rsidRDefault="005817DD">
            <w:pPr>
              <w:rPr>
                <w:rFonts w:ascii="Arial" w:hAnsi="Arial" w:cs="Arial"/>
                <w:b/>
                <w:sz w:val="24"/>
                <w:szCs w:val="24"/>
              </w:rPr>
            </w:pPr>
            <w:r w:rsidRPr="00286CFE">
              <w:rPr>
                <w:rFonts w:ascii="Arial" w:hAnsi="Arial" w:cs="Arial"/>
                <w:b/>
                <w:sz w:val="24"/>
                <w:szCs w:val="24"/>
              </w:rPr>
              <w:t>Date of meeting:</w:t>
            </w:r>
          </w:p>
          <w:p w14:paraId="67E45016" w14:textId="77777777" w:rsidR="005817DD" w:rsidRPr="00286CFE" w:rsidRDefault="005817DD">
            <w:pPr>
              <w:rPr>
                <w:rFonts w:ascii="Arial" w:hAnsi="Arial" w:cs="Arial"/>
                <w:b/>
                <w:sz w:val="24"/>
                <w:szCs w:val="24"/>
              </w:rPr>
            </w:pPr>
          </w:p>
        </w:tc>
        <w:tc>
          <w:tcPr>
            <w:tcW w:w="11624" w:type="dxa"/>
            <w:shd w:val="clear" w:color="auto" w:fill="B4C6E7" w:themeFill="accent5" w:themeFillTint="66"/>
          </w:tcPr>
          <w:p w14:paraId="3CE14977" w14:textId="0E8F3B1D" w:rsidR="005817DD" w:rsidRPr="00286CFE" w:rsidRDefault="00C7623F" w:rsidP="00F7692E">
            <w:pPr>
              <w:rPr>
                <w:rFonts w:ascii="Arial" w:hAnsi="Arial" w:cs="Arial"/>
                <w:sz w:val="24"/>
                <w:szCs w:val="24"/>
              </w:rPr>
            </w:pPr>
            <w:r>
              <w:rPr>
                <w:rFonts w:ascii="Arial" w:hAnsi="Arial" w:cs="Arial"/>
                <w:sz w:val="24"/>
                <w:szCs w:val="24"/>
              </w:rPr>
              <w:t xml:space="preserve">11 June </w:t>
            </w:r>
            <w:r w:rsidR="005F4417">
              <w:rPr>
                <w:rFonts w:ascii="Arial" w:hAnsi="Arial" w:cs="Arial"/>
                <w:sz w:val="24"/>
                <w:szCs w:val="24"/>
              </w:rPr>
              <w:t>2026</w:t>
            </w:r>
          </w:p>
        </w:tc>
      </w:tr>
    </w:tbl>
    <w:p w14:paraId="35FE9717" w14:textId="77777777" w:rsidR="005817DD" w:rsidRDefault="005817DD"/>
    <w:p w14:paraId="6CD1F764" w14:textId="6D87CB16" w:rsidR="005F4417" w:rsidRPr="00E510D6" w:rsidRDefault="005F4417">
      <w:pPr>
        <w:rPr>
          <w:rFonts w:ascii="Arial" w:hAnsi="Arial" w:cs="Arial"/>
          <w:sz w:val="24"/>
          <w:szCs w:val="24"/>
        </w:rPr>
      </w:pPr>
      <w:r w:rsidRPr="00E510D6">
        <w:rPr>
          <w:rFonts w:ascii="Arial" w:hAnsi="Arial" w:cs="Arial"/>
          <w:sz w:val="24"/>
          <w:szCs w:val="24"/>
        </w:rPr>
        <w:t xml:space="preserve">At the last meeting of the Board of St Leger Homes, the following </w:t>
      </w:r>
      <w:r w:rsidR="00EA1624" w:rsidRPr="00E510D6">
        <w:rPr>
          <w:rFonts w:ascii="Arial" w:hAnsi="Arial" w:cs="Arial"/>
          <w:sz w:val="24"/>
          <w:szCs w:val="24"/>
        </w:rPr>
        <w:t>discussions and decisions were had which we want to provide feedback to our involved tenants on.</w:t>
      </w:r>
    </w:p>
    <w:tbl>
      <w:tblPr>
        <w:tblStyle w:val="TableGrid"/>
        <w:tblW w:w="0" w:type="auto"/>
        <w:tblLook w:val="04A0" w:firstRow="1" w:lastRow="0" w:firstColumn="1" w:lastColumn="0" w:noHBand="0" w:noVBand="1"/>
      </w:tblPr>
      <w:tblGrid>
        <w:gridCol w:w="2064"/>
        <w:gridCol w:w="4724"/>
        <w:gridCol w:w="3580"/>
        <w:gridCol w:w="3580"/>
      </w:tblGrid>
      <w:tr w:rsidR="00B26E53" w:rsidRPr="00E510D6" w14:paraId="026A59D5" w14:textId="5D26EE04" w:rsidTr="44AF77C2">
        <w:tc>
          <w:tcPr>
            <w:tcW w:w="2064" w:type="dxa"/>
          </w:tcPr>
          <w:p w14:paraId="10F8475D" w14:textId="02A52527" w:rsidR="00B26E53" w:rsidRPr="00E510D6" w:rsidRDefault="00B26E53" w:rsidP="003E040F">
            <w:pPr>
              <w:jc w:val="center"/>
              <w:rPr>
                <w:rFonts w:ascii="Arial" w:hAnsi="Arial" w:cs="Arial"/>
                <w:sz w:val="24"/>
                <w:szCs w:val="24"/>
              </w:rPr>
            </w:pPr>
            <w:r w:rsidRPr="00E510D6">
              <w:rPr>
                <w:rFonts w:ascii="Arial" w:hAnsi="Arial" w:cs="Arial"/>
                <w:sz w:val="24"/>
                <w:szCs w:val="24"/>
              </w:rPr>
              <w:t>Agenda Item</w:t>
            </w:r>
          </w:p>
        </w:tc>
        <w:tc>
          <w:tcPr>
            <w:tcW w:w="4724" w:type="dxa"/>
          </w:tcPr>
          <w:p w14:paraId="1FD67C46" w14:textId="312775DF" w:rsidR="00B26E53" w:rsidRPr="00E510D6" w:rsidRDefault="00B26E53" w:rsidP="003E040F">
            <w:pPr>
              <w:jc w:val="center"/>
              <w:rPr>
                <w:rFonts w:ascii="Arial" w:hAnsi="Arial" w:cs="Arial"/>
                <w:sz w:val="24"/>
                <w:szCs w:val="24"/>
              </w:rPr>
            </w:pPr>
            <w:r w:rsidRPr="00E510D6">
              <w:rPr>
                <w:rFonts w:ascii="Arial" w:hAnsi="Arial" w:cs="Arial"/>
                <w:sz w:val="24"/>
                <w:szCs w:val="24"/>
              </w:rPr>
              <w:t>Summary</w:t>
            </w:r>
          </w:p>
        </w:tc>
        <w:tc>
          <w:tcPr>
            <w:tcW w:w="3580" w:type="dxa"/>
          </w:tcPr>
          <w:p w14:paraId="539274BA" w14:textId="19AF2FBC" w:rsidR="00B26E53" w:rsidRPr="003D56C7" w:rsidRDefault="00B26E53" w:rsidP="003E040F">
            <w:pPr>
              <w:jc w:val="center"/>
              <w:rPr>
                <w:rFonts w:ascii="Arial" w:hAnsi="Arial" w:cs="Arial"/>
                <w:sz w:val="24"/>
                <w:szCs w:val="24"/>
              </w:rPr>
            </w:pPr>
            <w:r w:rsidRPr="003D56C7">
              <w:rPr>
                <w:rFonts w:ascii="Arial" w:hAnsi="Arial" w:cs="Arial"/>
                <w:sz w:val="24"/>
                <w:szCs w:val="24"/>
              </w:rPr>
              <w:t>Decision</w:t>
            </w:r>
          </w:p>
        </w:tc>
        <w:tc>
          <w:tcPr>
            <w:tcW w:w="3580" w:type="dxa"/>
            <w:shd w:val="clear" w:color="auto" w:fill="FFF2CC" w:themeFill="accent4" w:themeFillTint="33"/>
          </w:tcPr>
          <w:p w14:paraId="3986028B" w14:textId="375ABC14" w:rsidR="00B26E53" w:rsidRPr="007634E1" w:rsidRDefault="00AF6E16" w:rsidP="003E040F">
            <w:pPr>
              <w:jc w:val="center"/>
              <w:rPr>
                <w:rFonts w:ascii="Arial" w:hAnsi="Arial" w:cs="Arial"/>
                <w:sz w:val="24"/>
                <w:szCs w:val="24"/>
              </w:rPr>
            </w:pPr>
            <w:r w:rsidRPr="007634E1">
              <w:rPr>
                <w:rFonts w:ascii="Arial" w:hAnsi="Arial" w:cs="Arial"/>
                <w:sz w:val="24"/>
                <w:szCs w:val="24"/>
              </w:rPr>
              <w:t>How this effects ou</w:t>
            </w:r>
            <w:r w:rsidR="00704444" w:rsidRPr="007634E1">
              <w:rPr>
                <w:rFonts w:ascii="Arial" w:hAnsi="Arial" w:cs="Arial"/>
                <w:sz w:val="24"/>
                <w:szCs w:val="24"/>
              </w:rPr>
              <w:t>r</w:t>
            </w:r>
            <w:r w:rsidRPr="007634E1">
              <w:rPr>
                <w:rFonts w:ascii="Arial" w:hAnsi="Arial" w:cs="Arial"/>
                <w:sz w:val="24"/>
                <w:szCs w:val="24"/>
              </w:rPr>
              <w:t xml:space="preserve"> tenants</w:t>
            </w:r>
          </w:p>
        </w:tc>
      </w:tr>
      <w:tr w:rsidR="00B26E53" w:rsidRPr="00CD4DE8" w14:paraId="6E1EB166" w14:textId="240DD1FB" w:rsidTr="44AF77C2">
        <w:tc>
          <w:tcPr>
            <w:tcW w:w="2064" w:type="dxa"/>
          </w:tcPr>
          <w:p w14:paraId="3BAD42A4" w14:textId="36B2C3AA" w:rsidR="000A70C9" w:rsidRPr="00526A0F" w:rsidRDefault="00A528AE" w:rsidP="000A70C9">
            <w:pPr>
              <w:rPr>
                <w:rFonts w:ascii="Arial" w:hAnsi="Arial" w:cs="Arial"/>
                <w:szCs w:val="20"/>
              </w:rPr>
            </w:pPr>
            <w:r>
              <w:rPr>
                <w:rFonts w:ascii="Arial" w:hAnsi="Arial" w:cs="Arial"/>
                <w:szCs w:val="20"/>
              </w:rPr>
              <w:t xml:space="preserve">6. </w:t>
            </w:r>
            <w:r w:rsidR="000A70C9" w:rsidRPr="00526A0F">
              <w:rPr>
                <w:rFonts w:ascii="Arial" w:hAnsi="Arial" w:cs="Arial"/>
                <w:szCs w:val="20"/>
              </w:rPr>
              <w:t>Consumer Standards GAP analysis action plan</w:t>
            </w:r>
          </w:p>
          <w:p w14:paraId="4504F009" w14:textId="27F9F809" w:rsidR="00B26E53" w:rsidRPr="00CD4DE8" w:rsidRDefault="00B26E53">
            <w:pPr>
              <w:rPr>
                <w:rFonts w:ascii="Arial" w:hAnsi="Arial" w:cs="Arial"/>
                <w:sz w:val="24"/>
                <w:szCs w:val="24"/>
              </w:rPr>
            </w:pPr>
          </w:p>
        </w:tc>
        <w:tc>
          <w:tcPr>
            <w:tcW w:w="4724" w:type="dxa"/>
          </w:tcPr>
          <w:p w14:paraId="09E72E60" w14:textId="599F8818" w:rsidR="00CD21BF" w:rsidRDefault="00E37B97">
            <w:pPr>
              <w:rPr>
                <w:rFonts w:ascii="Arial" w:hAnsi="Arial" w:cs="Arial"/>
                <w:sz w:val="24"/>
                <w:szCs w:val="24"/>
              </w:rPr>
            </w:pPr>
            <w:r>
              <w:rPr>
                <w:rFonts w:ascii="Arial" w:hAnsi="Arial" w:cs="Arial"/>
                <w:sz w:val="24"/>
                <w:szCs w:val="24"/>
              </w:rPr>
              <w:t xml:space="preserve">Board were provided with </w:t>
            </w:r>
            <w:r w:rsidR="009C4CFF">
              <w:rPr>
                <w:rFonts w:ascii="Arial" w:hAnsi="Arial" w:cs="Arial"/>
                <w:sz w:val="24"/>
                <w:szCs w:val="24"/>
              </w:rPr>
              <w:t>an update on how SLHD are meeting compliance against The Regulator of Social Housing (RSH) Consumer Standards which</w:t>
            </w:r>
            <w:r w:rsidR="00CB6CF8">
              <w:rPr>
                <w:rFonts w:ascii="Arial" w:hAnsi="Arial" w:cs="Arial"/>
                <w:sz w:val="24"/>
                <w:szCs w:val="24"/>
              </w:rPr>
              <w:t xml:space="preserve"> is the framework</w:t>
            </w:r>
            <w:r w:rsidR="00B26BA6">
              <w:rPr>
                <w:rFonts w:ascii="Arial" w:hAnsi="Arial" w:cs="Arial"/>
                <w:sz w:val="24"/>
                <w:szCs w:val="24"/>
              </w:rPr>
              <w:t xml:space="preserve"> Doncaster Council and</w:t>
            </w:r>
            <w:r w:rsidR="00CB6CF8">
              <w:rPr>
                <w:rFonts w:ascii="Arial" w:hAnsi="Arial" w:cs="Arial"/>
                <w:sz w:val="24"/>
                <w:szCs w:val="24"/>
              </w:rPr>
              <w:t xml:space="preserve"> SLHD are assess</w:t>
            </w:r>
            <w:r w:rsidR="008F57BB">
              <w:rPr>
                <w:rFonts w:ascii="Arial" w:hAnsi="Arial" w:cs="Arial"/>
                <w:sz w:val="24"/>
                <w:szCs w:val="24"/>
              </w:rPr>
              <w:t>ed</w:t>
            </w:r>
            <w:r w:rsidR="00CB6CF8">
              <w:rPr>
                <w:rFonts w:ascii="Arial" w:hAnsi="Arial" w:cs="Arial"/>
                <w:sz w:val="24"/>
                <w:szCs w:val="24"/>
              </w:rPr>
              <w:t xml:space="preserve"> against</w:t>
            </w:r>
            <w:r w:rsidR="00B26BA6">
              <w:rPr>
                <w:rFonts w:ascii="Arial" w:hAnsi="Arial" w:cs="Arial"/>
                <w:sz w:val="24"/>
                <w:szCs w:val="24"/>
              </w:rPr>
              <w:t xml:space="preserve"> as a Landlord.</w:t>
            </w:r>
          </w:p>
          <w:p w14:paraId="697950D4" w14:textId="4DF34D3E" w:rsidR="00B26E53" w:rsidRPr="00CD4DE8" w:rsidRDefault="008F57BB">
            <w:pPr>
              <w:rPr>
                <w:rFonts w:ascii="Arial" w:hAnsi="Arial" w:cs="Arial"/>
                <w:sz w:val="24"/>
                <w:szCs w:val="24"/>
              </w:rPr>
            </w:pPr>
            <w:r>
              <w:rPr>
                <w:rFonts w:ascii="Arial" w:hAnsi="Arial" w:cs="Arial"/>
                <w:sz w:val="24"/>
                <w:szCs w:val="24"/>
              </w:rPr>
              <w:t xml:space="preserve"> </w:t>
            </w:r>
            <w:r w:rsidR="009C4CFF">
              <w:rPr>
                <w:rFonts w:ascii="Arial" w:hAnsi="Arial" w:cs="Arial"/>
                <w:sz w:val="24"/>
                <w:szCs w:val="24"/>
              </w:rPr>
              <w:t xml:space="preserve"> </w:t>
            </w:r>
          </w:p>
        </w:tc>
        <w:tc>
          <w:tcPr>
            <w:tcW w:w="3580" w:type="dxa"/>
          </w:tcPr>
          <w:p w14:paraId="46E632A9" w14:textId="6D4F6C55" w:rsidR="00B26E53" w:rsidRPr="003D56C7" w:rsidRDefault="00746A08" w:rsidP="004F19D1">
            <w:pPr>
              <w:jc w:val="both"/>
              <w:rPr>
                <w:rFonts w:ascii="Arial" w:hAnsi="Arial" w:cs="Arial"/>
                <w:sz w:val="24"/>
                <w:szCs w:val="24"/>
              </w:rPr>
            </w:pPr>
            <w:r>
              <w:rPr>
                <w:rFonts w:ascii="Arial" w:hAnsi="Arial" w:cs="Arial"/>
                <w:sz w:val="24"/>
                <w:szCs w:val="24"/>
              </w:rPr>
              <w:t xml:space="preserve">Board </w:t>
            </w:r>
            <w:r w:rsidR="00BA2156">
              <w:rPr>
                <w:rFonts w:ascii="Arial" w:hAnsi="Arial" w:cs="Arial"/>
                <w:sz w:val="24"/>
                <w:szCs w:val="24"/>
              </w:rPr>
              <w:t>noted our progress against the action plan.</w:t>
            </w:r>
          </w:p>
        </w:tc>
        <w:tc>
          <w:tcPr>
            <w:tcW w:w="3580" w:type="dxa"/>
            <w:shd w:val="clear" w:color="auto" w:fill="FFF2CC" w:themeFill="accent4" w:themeFillTint="33"/>
          </w:tcPr>
          <w:p w14:paraId="66E328D4" w14:textId="06FF5B59" w:rsidR="00621DF6" w:rsidRPr="007634E1" w:rsidRDefault="5FA2A5B7" w:rsidP="7DB5D9EE">
            <w:r w:rsidRPr="7DB5D9EE">
              <w:rPr>
                <w:rFonts w:ascii="Arial" w:hAnsi="Arial" w:cs="Arial"/>
                <w:sz w:val="24"/>
                <w:szCs w:val="24"/>
              </w:rPr>
              <w:t xml:space="preserve">This review </w:t>
            </w:r>
            <w:r w:rsidR="3A6C9745" w:rsidRPr="7DB5D9EE">
              <w:rPr>
                <w:rFonts w:ascii="Arial" w:hAnsi="Arial" w:cs="Arial"/>
                <w:sz w:val="24"/>
                <w:szCs w:val="24"/>
              </w:rPr>
              <w:t>impacts upon</w:t>
            </w:r>
            <w:r w:rsidRPr="7DB5D9EE">
              <w:rPr>
                <w:rFonts w:ascii="Arial" w:hAnsi="Arial" w:cs="Arial"/>
                <w:sz w:val="24"/>
                <w:szCs w:val="24"/>
              </w:rPr>
              <w:t xml:space="preserve"> all our tenants. It enables St Leger </w:t>
            </w:r>
            <w:r w:rsidR="6C89AC46" w:rsidRPr="1246AE45">
              <w:rPr>
                <w:rFonts w:ascii="Arial" w:hAnsi="Arial" w:cs="Arial"/>
                <w:sz w:val="24"/>
                <w:szCs w:val="24"/>
              </w:rPr>
              <w:t>Homes</w:t>
            </w:r>
            <w:r w:rsidR="0C45FC06" w:rsidRPr="1246AE45">
              <w:rPr>
                <w:rFonts w:ascii="Arial" w:hAnsi="Arial" w:cs="Arial"/>
                <w:sz w:val="24"/>
                <w:szCs w:val="24"/>
              </w:rPr>
              <w:t xml:space="preserve"> </w:t>
            </w:r>
            <w:r w:rsidRPr="7DB5D9EE">
              <w:rPr>
                <w:rFonts w:ascii="Arial" w:hAnsi="Arial" w:cs="Arial"/>
                <w:sz w:val="24"/>
                <w:szCs w:val="24"/>
              </w:rPr>
              <w:t>to review the services we provide and to compare them to the expectations of the Regulat</w:t>
            </w:r>
            <w:r w:rsidR="25E37383" w:rsidRPr="7DB5D9EE">
              <w:rPr>
                <w:rFonts w:ascii="Arial" w:hAnsi="Arial" w:cs="Arial"/>
                <w:sz w:val="24"/>
                <w:szCs w:val="24"/>
              </w:rPr>
              <w:t xml:space="preserve">or. Where we identify gaps in our service delivery or areas where we feel there is room for improvement, </w:t>
            </w:r>
            <w:r w:rsidR="5549ED7F" w:rsidRPr="7DB5D9EE">
              <w:rPr>
                <w:rFonts w:ascii="Arial" w:hAnsi="Arial" w:cs="Arial"/>
                <w:sz w:val="24"/>
                <w:szCs w:val="24"/>
              </w:rPr>
              <w:t>we agree how we are going to move forwards and further en</w:t>
            </w:r>
            <w:r w:rsidR="404DC6E3" w:rsidRPr="7DB5D9EE">
              <w:rPr>
                <w:rFonts w:ascii="Arial" w:hAnsi="Arial" w:cs="Arial"/>
                <w:sz w:val="24"/>
                <w:szCs w:val="24"/>
              </w:rPr>
              <w:t>ha</w:t>
            </w:r>
            <w:r w:rsidR="5549ED7F" w:rsidRPr="7DB5D9EE">
              <w:rPr>
                <w:rFonts w:ascii="Arial" w:hAnsi="Arial" w:cs="Arial"/>
                <w:sz w:val="24"/>
                <w:szCs w:val="24"/>
              </w:rPr>
              <w:t>nce the service offering to our tenants</w:t>
            </w:r>
            <w:r w:rsidR="01195B83" w:rsidRPr="7DB5D9EE">
              <w:rPr>
                <w:rFonts w:ascii="Arial" w:hAnsi="Arial" w:cs="Arial"/>
                <w:sz w:val="24"/>
                <w:szCs w:val="24"/>
              </w:rPr>
              <w:t>.</w:t>
            </w:r>
          </w:p>
          <w:p w14:paraId="413D5B1B" w14:textId="13A495EA" w:rsidR="00621DF6" w:rsidRPr="007634E1" w:rsidRDefault="00621DF6" w:rsidP="7DB5D9EE">
            <w:pPr>
              <w:rPr>
                <w:rFonts w:ascii="Arial" w:hAnsi="Arial" w:cs="Arial"/>
                <w:sz w:val="24"/>
                <w:szCs w:val="24"/>
              </w:rPr>
            </w:pPr>
          </w:p>
        </w:tc>
      </w:tr>
      <w:tr w:rsidR="00B26E53" w:rsidRPr="001C7871" w14:paraId="480564C5" w14:textId="42FD9797" w:rsidTr="44AF77C2">
        <w:trPr>
          <w:trHeight w:val="1833"/>
        </w:trPr>
        <w:tc>
          <w:tcPr>
            <w:tcW w:w="2064" w:type="dxa"/>
          </w:tcPr>
          <w:p w14:paraId="3CAD1A4E" w14:textId="5665C84B" w:rsidR="00B070F5" w:rsidRPr="00526A0F" w:rsidRDefault="00590757" w:rsidP="00B070F5">
            <w:pPr>
              <w:rPr>
                <w:rFonts w:ascii="Arial" w:hAnsi="Arial" w:cs="Arial"/>
                <w:highlight w:val="yellow"/>
              </w:rPr>
            </w:pPr>
            <w:r>
              <w:rPr>
                <w:rFonts w:ascii="Arial" w:hAnsi="Arial" w:cs="Arial"/>
              </w:rPr>
              <w:t xml:space="preserve">9. </w:t>
            </w:r>
            <w:r w:rsidR="00B070F5" w:rsidRPr="00526A0F">
              <w:rPr>
                <w:rFonts w:ascii="Arial" w:hAnsi="Arial" w:cs="Arial"/>
              </w:rPr>
              <w:t>Equality Diversity and Inclusion (EDI) Strategy 2022 - 26</w:t>
            </w:r>
          </w:p>
          <w:p w14:paraId="57D70757" w14:textId="77777777" w:rsidR="00B070F5" w:rsidRPr="00526A0F" w:rsidRDefault="00B070F5" w:rsidP="00B070F5">
            <w:pPr>
              <w:rPr>
                <w:rFonts w:ascii="Arial" w:hAnsi="Arial" w:cs="Arial"/>
              </w:rPr>
            </w:pPr>
            <w:r w:rsidRPr="00526A0F">
              <w:rPr>
                <w:rFonts w:ascii="Arial" w:hAnsi="Arial" w:cs="Arial"/>
              </w:rPr>
              <w:t>Year 4 End of Year Update</w:t>
            </w:r>
          </w:p>
          <w:p w14:paraId="2A8894D6" w14:textId="33E03DBC" w:rsidR="00B26E53" w:rsidRPr="001C7871" w:rsidRDefault="00B26E53">
            <w:pPr>
              <w:rPr>
                <w:rFonts w:ascii="Arial" w:hAnsi="Arial" w:cs="Arial"/>
                <w:sz w:val="24"/>
                <w:szCs w:val="24"/>
              </w:rPr>
            </w:pPr>
          </w:p>
        </w:tc>
        <w:tc>
          <w:tcPr>
            <w:tcW w:w="4724" w:type="dxa"/>
          </w:tcPr>
          <w:p w14:paraId="54C2961B" w14:textId="6C6BDC16" w:rsidR="00B26E53" w:rsidRPr="001C7871" w:rsidRDefault="000E6765">
            <w:pPr>
              <w:rPr>
                <w:rFonts w:ascii="Arial" w:hAnsi="Arial" w:cs="Arial"/>
                <w:sz w:val="24"/>
                <w:szCs w:val="24"/>
              </w:rPr>
            </w:pPr>
            <w:r>
              <w:rPr>
                <w:rFonts w:ascii="Arial" w:hAnsi="Arial" w:cs="Arial"/>
                <w:sz w:val="24"/>
                <w:szCs w:val="24"/>
              </w:rPr>
              <w:t xml:space="preserve">Board received a report </w:t>
            </w:r>
            <w:r w:rsidR="00F026E2">
              <w:rPr>
                <w:rFonts w:ascii="Arial" w:hAnsi="Arial" w:cs="Arial"/>
                <w:sz w:val="24"/>
                <w:szCs w:val="24"/>
              </w:rPr>
              <w:t xml:space="preserve">noting progress and </w:t>
            </w:r>
            <w:r>
              <w:rPr>
                <w:rFonts w:ascii="Arial" w:hAnsi="Arial" w:cs="Arial"/>
                <w:sz w:val="24"/>
                <w:szCs w:val="24"/>
              </w:rPr>
              <w:t xml:space="preserve">actions completed against the </w:t>
            </w:r>
            <w:r w:rsidR="005B2BED">
              <w:rPr>
                <w:rFonts w:ascii="Arial" w:hAnsi="Arial" w:cs="Arial"/>
                <w:sz w:val="24"/>
                <w:szCs w:val="24"/>
              </w:rPr>
              <w:t xml:space="preserve">fourth and last year of the 2022-26 </w:t>
            </w:r>
            <w:r w:rsidR="002E74DF" w:rsidRPr="00FD5290">
              <w:rPr>
                <w:rFonts w:ascii="Arial" w:hAnsi="Arial" w:cs="Arial"/>
                <w:szCs w:val="24"/>
              </w:rPr>
              <w:t>Equality Diversity and Inclusion (EDI) Strategy</w:t>
            </w:r>
          </w:p>
        </w:tc>
        <w:tc>
          <w:tcPr>
            <w:tcW w:w="3580" w:type="dxa"/>
          </w:tcPr>
          <w:p w14:paraId="79E676AA" w14:textId="3994129E" w:rsidR="00B26E53" w:rsidRPr="003D56C7" w:rsidRDefault="00F161F3">
            <w:pPr>
              <w:rPr>
                <w:rFonts w:ascii="Arial" w:hAnsi="Arial" w:cs="Arial"/>
                <w:sz w:val="24"/>
                <w:szCs w:val="24"/>
              </w:rPr>
            </w:pPr>
            <w:r>
              <w:rPr>
                <w:rFonts w:ascii="Arial" w:hAnsi="Arial" w:cs="Arial"/>
                <w:sz w:val="24"/>
                <w:szCs w:val="24"/>
              </w:rPr>
              <w:t xml:space="preserve">Board noted progress against the 22-26 action plan and approved </w:t>
            </w:r>
            <w:r w:rsidR="00553104">
              <w:rPr>
                <w:rFonts w:ascii="Arial" w:hAnsi="Arial" w:cs="Arial"/>
                <w:color w:val="000000"/>
                <w:szCs w:val="24"/>
              </w:rPr>
              <w:t>the carry forward of the remaining outstanding actions.</w:t>
            </w:r>
          </w:p>
        </w:tc>
        <w:tc>
          <w:tcPr>
            <w:tcW w:w="3580" w:type="dxa"/>
            <w:shd w:val="clear" w:color="auto" w:fill="FFF2CC" w:themeFill="accent4" w:themeFillTint="33"/>
          </w:tcPr>
          <w:p w14:paraId="15AD44B0" w14:textId="758DCE16" w:rsidR="00B26E53" w:rsidRPr="007634E1" w:rsidRDefault="255BEA49" w:rsidP="00485863">
            <w:pPr>
              <w:tabs>
                <w:tab w:val="num" w:pos="289"/>
              </w:tabs>
              <w:spacing w:after="160" w:line="259" w:lineRule="auto"/>
              <w:rPr>
                <w:rFonts w:ascii="Arial" w:hAnsi="Arial" w:cs="Arial"/>
                <w:sz w:val="24"/>
                <w:szCs w:val="24"/>
              </w:rPr>
            </w:pPr>
            <w:r w:rsidRPr="7DB5D9EE">
              <w:rPr>
                <w:rFonts w:ascii="Arial" w:hAnsi="Arial" w:cs="Arial"/>
                <w:sz w:val="24"/>
                <w:szCs w:val="24"/>
              </w:rPr>
              <w:t xml:space="preserve">Delivering against our Equality, Diversity and Inclusion (EDI) </w:t>
            </w:r>
            <w:r w:rsidR="71DC4EC0" w:rsidRPr="1246AE45">
              <w:rPr>
                <w:rFonts w:ascii="Arial" w:hAnsi="Arial" w:cs="Arial"/>
                <w:sz w:val="24"/>
                <w:szCs w:val="24"/>
              </w:rPr>
              <w:t>S</w:t>
            </w:r>
            <w:r w:rsidR="7E593836" w:rsidRPr="1246AE45">
              <w:rPr>
                <w:rFonts w:ascii="Arial" w:hAnsi="Arial" w:cs="Arial"/>
                <w:sz w:val="24"/>
                <w:szCs w:val="24"/>
              </w:rPr>
              <w:t>trategy</w:t>
            </w:r>
            <w:r w:rsidRPr="7DB5D9EE">
              <w:rPr>
                <w:rFonts w:ascii="Arial" w:hAnsi="Arial" w:cs="Arial"/>
                <w:sz w:val="24"/>
                <w:szCs w:val="24"/>
              </w:rPr>
              <w:t xml:space="preserve"> is s top priority for St Leger </w:t>
            </w:r>
            <w:r w:rsidR="6693BA14" w:rsidRPr="1246AE45">
              <w:rPr>
                <w:rFonts w:ascii="Arial" w:hAnsi="Arial" w:cs="Arial"/>
                <w:sz w:val="24"/>
                <w:szCs w:val="24"/>
              </w:rPr>
              <w:t xml:space="preserve">Homes' </w:t>
            </w:r>
            <w:r w:rsidRPr="7DB5D9EE">
              <w:rPr>
                <w:rFonts w:ascii="Arial" w:hAnsi="Arial" w:cs="Arial"/>
                <w:sz w:val="24"/>
                <w:szCs w:val="24"/>
              </w:rPr>
              <w:t xml:space="preserve">colleagues. It ensures we listen to </w:t>
            </w:r>
            <w:r w:rsidR="4C5C4406" w:rsidRPr="7DB5D9EE">
              <w:rPr>
                <w:rFonts w:ascii="Arial" w:hAnsi="Arial" w:cs="Arial"/>
                <w:sz w:val="24"/>
                <w:szCs w:val="24"/>
              </w:rPr>
              <w:t xml:space="preserve">and engage with a wide variety of </w:t>
            </w:r>
            <w:r w:rsidR="4C5C4406" w:rsidRPr="7DB5D9EE">
              <w:rPr>
                <w:rFonts w:ascii="Arial" w:hAnsi="Arial" w:cs="Arial"/>
                <w:sz w:val="24"/>
                <w:szCs w:val="24"/>
              </w:rPr>
              <w:lastRenderedPageBreak/>
              <w:t xml:space="preserve">viewpoints from our </w:t>
            </w:r>
            <w:r w:rsidR="73539124" w:rsidRPr="1246AE45">
              <w:rPr>
                <w:rFonts w:ascii="Arial" w:hAnsi="Arial" w:cs="Arial"/>
                <w:sz w:val="24"/>
                <w:szCs w:val="24"/>
              </w:rPr>
              <w:t>customers</w:t>
            </w:r>
            <w:r w:rsidR="285E3518" w:rsidRPr="1246AE45">
              <w:rPr>
                <w:rFonts w:ascii="Arial" w:hAnsi="Arial" w:cs="Arial"/>
                <w:sz w:val="24"/>
                <w:szCs w:val="24"/>
              </w:rPr>
              <w:t>.</w:t>
            </w:r>
            <w:r w:rsidR="66660EF9" w:rsidRPr="7DB5D9EE">
              <w:rPr>
                <w:rFonts w:ascii="Arial" w:hAnsi="Arial" w:cs="Arial"/>
                <w:sz w:val="24"/>
                <w:szCs w:val="24"/>
              </w:rPr>
              <w:t xml:space="preserve"> This is a vital element in ensuring that the voices of all our </w:t>
            </w:r>
            <w:r w:rsidR="3325C8F2" w:rsidRPr="1246AE45">
              <w:rPr>
                <w:rFonts w:ascii="Arial" w:hAnsi="Arial" w:cs="Arial"/>
                <w:sz w:val="24"/>
                <w:szCs w:val="24"/>
              </w:rPr>
              <w:t>customers</w:t>
            </w:r>
            <w:r w:rsidR="0127FC7A" w:rsidRPr="7DB5D9EE">
              <w:rPr>
                <w:rFonts w:ascii="Arial" w:hAnsi="Arial" w:cs="Arial"/>
                <w:sz w:val="24"/>
                <w:szCs w:val="24"/>
              </w:rPr>
              <w:t xml:space="preserve"> </w:t>
            </w:r>
            <w:r w:rsidR="66660EF9" w:rsidRPr="7DB5D9EE">
              <w:rPr>
                <w:rFonts w:ascii="Arial" w:hAnsi="Arial" w:cs="Arial"/>
                <w:sz w:val="24"/>
                <w:szCs w:val="24"/>
              </w:rPr>
              <w:t xml:space="preserve">are heard when we are delivering current services or shaping </w:t>
            </w:r>
            <w:r w:rsidR="343E23B3" w:rsidRPr="7DB5D9EE">
              <w:rPr>
                <w:rFonts w:ascii="Arial" w:hAnsi="Arial" w:cs="Arial"/>
                <w:sz w:val="24"/>
                <w:szCs w:val="24"/>
              </w:rPr>
              <w:t>new ones.</w:t>
            </w:r>
            <w:r w:rsidR="2C70D0D5" w:rsidRPr="7DB5D9EE">
              <w:rPr>
                <w:rFonts w:ascii="Arial" w:hAnsi="Arial" w:cs="Arial"/>
                <w:sz w:val="24"/>
                <w:szCs w:val="24"/>
              </w:rPr>
              <w:t xml:space="preserve"> The review of the fourth year of our 2022-26 EDI strategy confirmed that we have made positive progress whilst also highlighting that there is always more for us to do.</w:t>
            </w:r>
          </w:p>
        </w:tc>
      </w:tr>
      <w:tr w:rsidR="00B26E53" w:rsidRPr="001C7871" w14:paraId="0F6C90E3" w14:textId="3A8DDA0D" w:rsidTr="44AF77C2">
        <w:trPr>
          <w:trHeight w:val="558"/>
        </w:trPr>
        <w:tc>
          <w:tcPr>
            <w:tcW w:w="2064" w:type="dxa"/>
          </w:tcPr>
          <w:p w14:paraId="5DDD7042" w14:textId="176A2B49" w:rsidR="00AC4E92" w:rsidRPr="00526A0F" w:rsidRDefault="00A422EE" w:rsidP="00AC4E92">
            <w:pPr>
              <w:rPr>
                <w:rFonts w:ascii="Arial" w:hAnsi="Arial" w:cs="Arial"/>
                <w:szCs w:val="20"/>
              </w:rPr>
            </w:pPr>
            <w:r>
              <w:rPr>
                <w:rFonts w:ascii="Arial" w:hAnsi="Arial" w:cs="Arial"/>
                <w:szCs w:val="20"/>
              </w:rPr>
              <w:lastRenderedPageBreak/>
              <w:t xml:space="preserve">11. </w:t>
            </w:r>
            <w:r w:rsidR="00AC4E92" w:rsidRPr="00526A0F">
              <w:rPr>
                <w:rFonts w:ascii="Arial" w:hAnsi="Arial" w:cs="Arial"/>
                <w:szCs w:val="20"/>
              </w:rPr>
              <w:t>Customer Support &amp; Accessibility Policy</w:t>
            </w:r>
          </w:p>
          <w:p w14:paraId="11F7C70A" w14:textId="74B84FE1" w:rsidR="00B26E53" w:rsidRPr="001C7871" w:rsidRDefault="00B26E53">
            <w:pPr>
              <w:rPr>
                <w:rFonts w:ascii="Arial" w:hAnsi="Arial" w:cs="Arial"/>
                <w:sz w:val="24"/>
                <w:szCs w:val="24"/>
              </w:rPr>
            </w:pPr>
          </w:p>
        </w:tc>
        <w:tc>
          <w:tcPr>
            <w:tcW w:w="4724" w:type="dxa"/>
          </w:tcPr>
          <w:p w14:paraId="032A303A" w14:textId="77777777" w:rsidR="00B26E53" w:rsidRDefault="00D759C9" w:rsidP="006C13AF">
            <w:pPr>
              <w:tabs>
                <w:tab w:val="left" w:pos="270"/>
                <w:tab w:val="left" w:pos="1905"/>
              </w:tabs>
              <w:rPr>
                <w:rFonts w:ascii="Arial" w:hAnsi="Arial" w:cs="Arial"/>
                <w:sz w:val="24"/>
                <w:szCs w:val="24"/>
              </w:rPr>
            </w:pPr>
            <w:r>
              <w:rPr>
                <w:rFonts w:ascii="Arial" w:hAnsi="Arial" w:cs="Arial"/>
                <w:sz w:val="24"/>
                <w:szCs w:val="24"/>
              </w:rPr>
              <w:t xml:space="preserve">Board were asked to consider the introduction of a new Customer Support </w:t>
            </w:r>
            <w:r w:rsidRPr="006775E5">
              <w:rPr>
                <w:rFonts w:ascii="Arial" w:hAnsi="Arial" w:cs="Arial"/>
                <w:sz w:val="24"/>
                <w:szCs w:val="24"/>
              </w:rPr>
              <w:t>and A</w:t>
            </w:r>
            <w:r w:rsidR="002B6534" w:rsidRPr="006775E5">
              <w:rPr>
                <w:rFonts w:ascii="Arial" w:hAnsi="Arial" w:cs="Arial"/>
                <w:sz w:val="24"/>
                <w:szCs w:val="24"/>
              </w:rPr>
              <w:t>ccess</w:t>
            </w:r>
            <w:r w:rsidRPr="006775E5">
              <w:rPr>
                <w:rFonts w:ascii="Arial" w:hAnsi="Arial" w:cs="Arial"/>
                <w:sz w:val="24"/>
                <w:szCs w:val="24"/>
              </w:rPr>
              <w:t>i</w:t>
            </w:r>
            <w:r w:rsidR="002B6534" w:rsidRPr="006775E5">
              <w:rPr>
                <w:rFonts w:ascii="Arial" w:hAnsi="Arial" w:cs="Arial"/>
                <w:sz w:val="24"/>
                <w:szCs w:val="24"/>
              </w:rPr>
              <w:t xml:space="preserve">bility Policy that replaces </w:t>
            </w:r>
            <w:r w:rsidR="006775E5" w:rsidRPr="006775E5">
              <w:rPr>
                <w:rFonts w:ascii="Arial" w:hAnsi="Arial" w:cs="Arial"/>
                <w:sz w:val="24"/>
                <w:szCs w:val="24"/>
              </w:rPr>
              <w:t>the former Vulnerable Customers Policy and reflects significant updates resulting from changes in legislation, regulatory expectations, sector best practice, and learning from customer feedback and complaints.</w:t>
            </w:r>
          </w:p>
          <w:p w14:paraId="699B8C91" w14:textId="7A15F318" w:rsidR="006775E5" w:rsidRPr="001C7871" w:rsidRDefault="006775E5" w:rsidP="006C13AF">
            <w:pPr>
              <w:tabs>
                <w:tab w:val="left" w:pos="270"/>
                <w:tab w:val="left" w:pos="1905"/>
              </w:tabs>
              <w:rPr>
                <w:rFonts w:ascii="Arial" w:hAnsi="Arial" w:cs="Arial"/>
                <w:sz w:val="24"/>
                <w:szCs w:val="24"/>
              </w:rPr>
            </w:pPr>
          </w:p>
        </w:tc>
        <w:tc>
          <w:tcPr>
            <w:tcW w:w="3580" w:type="dxa"/>
          </w:tcPr>
          <w:p w14:paraId="2F583A9B" w14:textId="43AA085B" w:rsidR="00B26E53" w:rsidRPr="003D56C7" w:rsidRDefault="00245B1E" w:rsidP="006C13AF">
            <w:pPr>
              <w:jc w:val="both"/>
              <w:rPr>
                <w:rFonts w:ascii="Arial" w:hAnsi="Arial" w:cs="Arial"/>
                <w:sz w:val="24"/>
                <w:szCs w:val="24"/>
              </w:rPr>
            </w:pPr>
            <w:r>
              <w:rPr>
                <w:rFonts w:ascii="Arial" w:hAnsi="Arial" w:cs="Arial"/>
                <w:sz w:val="24"/>
                <w:szCs w:val="24"/>
              </w:rPr>
              <w:t>Board approved the new policy and asked there was a planned in place for clear communication of this policy to our customers.</w:t>
            </w:r>
          </w:p>
        </w:tc>
        <w:tc>
          <w:tcPr>
            <w:tcW w:w="3580" w:type="dxa"/>
            <w:shd w:val="clear" w:color="auto" w:fill="FFF2CC" w:themeFill="accent4" w:themeFillTint="33"/>
          </w:tcPr>
          <w:p w14:paraId="12A974BE" w14:textId="7FD45719" w:rsidR="002A5EF5" w:rsidRPr="007634E1" w:rsidRDefault="1A57475A" w:rsidP="7DB5D9EE">
            <w:pPr>
              <w:spacing w:after="160" w:line="257" w:lineRule="auto"/>
              <w:jc w:val="both"/>
            </w:pPr>
            <w:r w:rsidRPr="7DB5D9EE">
              <w:rPr>
                <w:rFonts w:ascii="Arial" w:eastAsia="Arial" w:hAnsi="Arial" w:cs="Arial"/>
                <w:sz w:val="24"/>
                <w:szCs w:val="24"/>
              </w:rPr>
              <w:t>The new Customer Support</w:t>
            </w:r>
            <w:r w:rsidR="2610667B" w:rsidRPr="7DB5D9EE">
              <w:rPr>
                <w:rFonts w:ascii="Arial" w:eastAsia="Arial" w:hAnsi="Arial" w:cs="Arial"/>
                <w:sz w:val="24"/>
                <w:szCs w:val="24"/>
              </w:rPr>
              <w:t xml:space="preserve"> &amp; </w:t>
            </w:r>
            <w:r w:rsidR="001C1EC0">
              <w:rPr>
                <w:rFonts w:ascii="Arial" w:eastAsia="Arial" w:hAnsi="Arial" w:cs="Arial"/>
                <w:sz w:val="24"/>
                <w:szCs w:val="24"/>
              </w:rPr>
              <w:t>A</w:t>
            </w:r>
            <w:r w:rsidR="2610667B" w:rsidRPr="7DB5D9EE">
              <w:rPr>
                <w:rFonts w:ascii="Arial" w:eastAsia="Arial" w:hAnsi="Arial" w:cs="Arial"/>
                <w:sz w:val="24"/>
                <w:szCs w:val="24"/>
              </w:rPr>
              <w:t>ccessibility</w:t>
            </w:r>
            <w:r w:rsidRPr="7DB5D9EE">
              <w:rPr>
                <w:rFonts w:ascii="Arial" w:eastAsia="Arial" w:hAnsi="Arial" w:cs="Arial"/>
                <w:sz w:val="24"/>
                <w:szCs w:val="24"/>
              </w:rPr>
              <w:t xml:space="preserve"> Policy mean</w:t>
            </w:r>
            <w:r w:rsidR="00142658">
              <w:rPr>
                <w:rFonts w:ascii="Arial" w:eastAsia="Arial" w:hAnsi="Arial" w:cs="Arial"/>
                <w:sz w:val="24"/>
                <w:szCs w:val="24"/>
              </w:rPr>
              <w:t>s</w:t>
            </w:r>
            <w:r w:rsidRPr="7DB5D9EE">
              <w:rPr>
                <w:rFonts w:ascii="Arial" w:eastAsia="Arial" w:hAnsi="Arial" w:cs="Arial"/>
                <w:sz w:val="24"/>
                <w:szCs w:val="24"/>
              </w:rPr>
              <w:t xml:space="preserve"> </w:t>
            </w:r>
            <w:r w:rsidR="10EE4CAC" w:rsidRPr="1246AE45">
              <w:rPr>
                <w:rFonts w:ascii="Arial" w:eastAsia="Arial" w:hAnsi="Arial" w:cs="Arial"/>
                <w:sz w:val="24"/>
                <w:szCs w:val="24"/>
              </w:rPr>
              <w:t>customers</w:t>
            </w:r>
            <w:r w:rsidRPr="7DB5D9EE">
              <w:rPr>
                <w:rFonts w:ascii="Arial" w:eastAsia="Arial" w:hAnsi="Arial" w:cs="Arial"/>
                <w:sz w:val="24"/>
                <w:szCs w:val="24"/>
              </w:rPr>
              <w:t xml:space="preserve"> will receive a more personalised, accessible, and inclusive service. This new policy replaces the previous Vulnerable Customers Policy and reflects updated legislation, regulatory expectations, and best practice across the housing sector. </w:t>
            </w:r>
          </w:p>
          <w:p w14:paraId="5B4E1F9E" w14:textId="7306D080" w:rsidR="002A5EF5" w:rsidRPr="007634E1" w:rsidRDefault="1A57475A" w:rsidP="7DB5D9EE">
            <w:pPr>
              <w:spacing w:after="160" w:line="257" w:lineRule="auto"/>
              <w:jc w:val="both"/>
            </w:pPr>
            <w:r w:rsidRPr="7DB5D9EE">
              <w:rPr>
                <w:rFonts w:ascii="Arial" w:eastAsia="Arial" w:hAnsi="Arial" w:cs="Arial"/>
                <w:sz w:val="24"/>
                <w:szCs w:val="24"/>
              </w:rPr>
              <w:t xml:space="preserve">It ensures we better understand and respond to individual needs, provide clearer and more flexible ways for tenants to access support, and deliver services that are fair, </w:t>
            </w:r>
            <w:r w:rsidRPr="7DB5D9EE">
              <w:rPr>
                <w:rFonts w:ascii="Arial" w:eastAsia="Arial" w:hAnsi="Arial" w:cs="Arial"/>
                <w:sz w:val="24"/>
                <w:szCs w:val="24"/>
              </w:rPr>
              <w:lastRenderedPageBreak/>
              <w:t xml:space="preserve">consistent, and informed by customer feedback and learning from complaints. </w:t>
            </w:r>
          </w:p>
          <w:p w14:paraId="05F0EA3C" w14:textId="1DCFC1A9" w:rsidR="002A5EF5" w:rsidRPr="007634E1" w:rsidRDefault="1A57475A" w:rsidP="7DB5D9EE">
            <w:pPr>
              <w:spacing w:after="160" w:line="257" w:lineRule="auto"/>
              <w:jc w:val="both"/>
            </w:pPr>
            <w:r w:rsidRPr="7DB5D9EE">
              <w:rPr>
                <w:rFonts w:ascii="Arial" w:eastAsia="Arial" w:hAnsi="Arial" w:cs="Arial"/>
                <w:sz w:val="24"/>
                <w:szCs w:val="24"/>
              </w:rPr>
              <w:t>A communication plan is being developed to support implementation of the policy and ensure tenants understand what support is available and how to access it. This will build on planned activity, including publication on the website, internal staff briefings, and customer-facing communications to raise awareness of the new policy.</w:t>
            </w:r>
          </w:p>
          <w:p w14:paraId="6EF2EA54" w14:textId="6781B087" w:rsidR="002A5EF5" w:rsidRPr="007634E1" w:rsidRDefault="002A5EF5" w:rsidP="006C13AF">
            <w:pPr>
              <w:jc w:val="both"/>
              <w:rPr>
                <w:rFonts w:ascii="Arial" w:hAnsi="Arial" w:cs="Arial"/>
                <w:sz w:val="24"/>
                <w:szCs w:val="24"/>
              </w:rPr>
            </w:pPr>
          </w:p>
        </w:tc>
      </w:tr>
      <w:tr w:rsidR="00B26E53" w:rsidRPr="001C7871" w14:paraId="58C5E5C6" w14:textId="6E001DBD" w:rsidTr="44AF77C2">
        <w:tc>
          <w:tcPr>
            <w:tcW w:w="2064" w:type="dxa"/>
          </w:tcPr>
          <w:p w14:paraId="395FBD59" w14:textId="38B6E46D" w:rsidR="00D92926" w:rsidRPr="00526A0F" w:rsidRDefault="002E6F11" w:rsidP="00D92926">
            <w:pPr>
              <w:rPr>
                <w:rFonts w:ascii="Arial" w:hAnsi="Arial" w:cs="Arial"/>
                <w:szCs w:val="20"/>
              </w:rPr>
            </w:pPr>
            <w:r>
              <w:rPr>
                <w:rFonts w:ascii="Arial" w:hAnsi="Arial" w:cs="Arial"/>
                <w:szCs w:val="20"/>
              </w:rPr>
              <w:lastRenderedPageBreak/>
              <w:t xml:space="preserve">12. </w:t>
            </w:r>
            <w:r w:rsidR="00D92926" w:rsidRPr="00526A0F">
              <w:rPr>
                <w:rFonts w:ascii="Arial" w:hAnsi="Arial" w:cs="Arial"/>
                <w:szCs w:val="20"/>
              </w:rPr>
              <w:t>Decant Policy</w:t>
            </w:r>
          </w:p>
          <w:p w14:paraId="52FF11C1" w14:textId="483521D5" w:rsidR="00B26E53" w:rsidRPr="001C7871" w:rsidRDefault="00B26E53">
            <w:pPr>
              <w:rPr>
                <w:rFonts w:ascii="Arial" w:hAnsi="Arial" w:cs="Arial"/>
                <w:sz w:val="24"/>
                <w:szCs w:val="24"/>
              </w:rPr>
            </w:pPr>
          </w:p>
        </w:tc>
        <w:tc>
          <w:tcPr>
            <w:tcW w:w="4724" w:type="dxa"/>
          </w:tcPr>
          <w:p w14:paraId="3926C2EF" w14:textId="77777777" w:rsidR="00B26E53" w:rsidRDefault="002E6F11">
            <w:pPr>
              <w:rPr>
                <w:rFonts w:ascii="Arial" w:hAnsi="Arial" w:cs="Arial"/>
                <w:sz w:val="24"/>
                <w:szCs w:val="24"/>
              </w:rPr>
            </w:pPr>
            <w:r>
              <w:rPr>
                <w:rFonts w:ascii="Arial" w:hAnsi="Arial" w:cs="Arial"/>
                <w:sz w:val="24"/>
                <w:szCs w:val="24"/>
              </w:rPr>
              <w:t xml:space="preserve">Board were asked to consider the introduction of a new Decant Policy which sets out </w:t>
            </w:r>
            <w:r w:rsidR="00C865F6">
              <w:rPr>
                <w:rFonts w:ascii="Arial" w:hAnsi="Arial" w:cs="Arial"/>
                <w:sz w:val="24"/>
                <w:szCs w:val="24"/>
              </w:rPr>
              <w:t xml:space="preserve">a clear and consistent approach to managing situations where a tenants home becomes unsafe of uninhabitable and </w:t>
            </w:r>
            <w:r w:rsidR="00C865F6" w:rsidRPr="00495876">
              <w:rPr>
                <w:rFonts w:ascii="Arial" w:hAnsi="Arial" w:cs="Arial"/>
                <w:sz w:val="24"/>
                <w:szCs w:val="24"/>
              </w:rPr>
              <w:t>a</w:t>
            </w:r>
            <w:r w:rsidR="00495876" w:rsidRPr="00495876">
              <w:rPr>
                <w:rFonts w:ascii="Arial" w:hAnsi="Arial" w:cs="Arial"/>
                <w:sz w:val="24"/>
                <w:szCs w:val="24"/>
              </w:rPr>
              <w:t xml:space="preserve"> temporary or permanent move is required.</w:t>
            </w:r>
          </w:p>
          <w:p w14:paraId="1E590949" w14:textId="250E7F40" w:rsidR="00495876" w:rsidRPr="001C7871" w:rsidRDefault="00495876">
            <w:pPr>
              <w:rPr>
                <w:rFonts w:ascii="Arial" w:hAnsi="Arial" w:cs="Arial"/>
                <w:sz w:val="24"/>
                <w:szCs w:val="24"/>
              </w:rPr>
            </w:pPr>
          </w:p>
        </w:tc>
        <w:tc>
          <w:tcPr>
            <w:tcW w:w="3580" w:type="dxa"/>
          </w:tcPr>
          <w:p w14:paraId="26012FF7" w14:textId="641156A1" w:rsidR="00B26E53" w:rsidRPr="003D56C7" w:rsidRDefault="00245B1E">
            <w:pPr>
              <w:rPr>
                <w:rFonts w:ascii="Arial" w:hAnsi="Arial" w:cs="Arial"/>
                <w:sz w:val="24"/>
                <w:szCs w:val="24"/>
              </w:rPr>
            </w:pPr>
            <w:r>
              <w:rPr>
                <w:rFonts w:ascii="Arial" w:hAnsi="Arial" w:cs="Arial"/>
                <w:sz w:val="24"/>
                <w:szCs w:val="24"/>
              </w:rPr>
              <w:t>Board approved the new policy and asked there was a planned in place for clear communication of this policy to our customers.</w:t>
            </w:r>
          </w:p>
        </w:tc>
        <w:tc>
          <w:tcPr>
            <w:tcW w:w="3580" w:type="dxa"/>
            <w:shd w:val="clear" w:color="auto" w:fill="FFF2CC" w:themeFill="accent4" w:themeFillTint="33"/>
          </w:tcPr>
          <w:p w14:paraId="2AC08250" w14:textId="10B6ABF2" w:rsidR="00B26E53" w:rsidRPr="007634E1" w:rsidRDefault="52738231" w:rsidP="7DB5D9EE">
            <w:pPr>
              <w:spacing w:after="160" w:line="257" w:lineRule="auto"/>
            </w:pPr>
            <w:r w:rsidRPr="7DB5D9EE">
              <w:rPr>
                <w:rFonts w:ascii="Arial" w:eastAsia="Arial" w:hAnsi="Arial" w:cs="Arial"/>
                <w:sz w:val="24"/>
                <w:szCs w:val="24"/>
              </w:rPr>
              <w:t xml:space="preserve">We have introduced a new Decant Policy to make sure there is a clear and consistent approach if a </w:t>
            </w:r>
            <w:r w:rsidR="49B4A3D4" w:rsidRPr="1246AE45">
              <w:rPr>
                <w:rFonts w:ascii="Arial" w:eastAsia="Arial" w:hAnsi="Arial" w:cs="Arial"/>
                <w:sz w:val="24"/>
                <w:szCs w:val="24"/>
              </w:rPr>
              <w:t>customers'</w:t>
            </w:r>
            <w:r w:rsidRPr="7DB5D9EE">
              <w:rPr>
                <w:rFonts w:ascii="Arial" w:eastAsia="Arial" w:hAnsi="Arial" w:cs="Arial"/>
                <w:sz w:val="24"/>
                <w:szCs w:val="24"/>
              </w:rPr>
              <w:t xml:space="preserve"> home becomes unsafe or unsuitable to live in and </w:t>
            </w:r>
            <w:r w:rsidR="0423F319" w:rsidRPr="7DB5D9EE">
              <w:rPr>
                <w:rFonts w:ascii="Arial" w:eastAsia="Arial" w:hAnsi="Arial" w:cs="Arial"/>
                <w:sz w:val="24"/>
                <w:szCs w:val="24"/>
              </w:rPr>
              <w:t>the tenant</w:t>
            </w:r>
            <w:r w:rsidRPr="7DB5D9EE">
              <w:rPr>
                <w:rFonts w:ascii="Arial" w:eastAsia="Arial" w:hAnsi="Arial" w:cs="Arial"/>
                <w:sz w:val="24"/>
                <w:szCs w:val="24"/>
              </w:rPr>
              <w:t xml:space="preserve"> need to move, either temporarily or permanently.</w:t>
            </w:r>
          </w:p>
          <w:p w14:paraId="5B0E2780" w14:textId="1C6FA1EA" w:rsidR="00B26E53" w:rsidRPr="007634E1" w:rsidRDefault="52738231" w:rsidP="7DB5D9EE">
            <w:pPr>
              <w:spacing w:after="160" w:line="257" w:lineRule="auto"/>
            </w:pPr>
            <w:r w:rsidRPr="7DB5D9EE">
              <w:rPr>
                <w:rFonts w:ascii="Arial" w:eastAsia="Arial" w:hAnsi="Arial" w:cs="Arial"/>
                <w:sz w:val="24"/>
                <w:szCs w:val="24"/>
              </w:rPr>
              <w:t xml:space="preserve">This policy sets out how we will support </w:t>
            </w:r>
            <w:r w:rsidR="354BE263" w:rsidRPr="7DB5D9EE">
              <w:rPr>
                <w:rFonts w:ascii="Arial" w:eastAsia="Arial" w:hAnsi="Arial" w:cs="Arial"/>
                <w:sz w:val="24"/>
                <w:szCs w:val="24"/>
              </w:rPr>
              <w:t xml:space="preserve">our </w:t>
            </w:r>
            <w:r w:rsidR="2381F6C0" w:rsidRPr="1246AE45">
              <w:rPr>
                <w:rFonts w:ascii="Arial" w:eastAsia="Arial" w:hAnsi="Arial" w:cs="Arial"/>
                <w:sz w:val="24"/>
                <w:szCs w:val="24"/>
              </w:rPr>
              <w:t>customers</w:t>
            </w:r>
            <w:r w:rsidR="354BE263" w:rsidRPr="7DB5D9EE">
              <w:rPr>
                <w:rFonts w:ascii="Arial" w:eastAsia="Arial" w:hAnsi="Arial" w:cs="Arial"/>
                <w:sz w:val="24"/>
                <w:szCs w:val="24"/>
              </w:rPr>
              <w:t xml:space="preserve"> </w:t>
            </w:r>
            <w:r w:rsidRPr="7DB5D9EE">
              <w:rPr>
                <w:rFonts w:ascii="Arial" w:eastAsia="Arial" w:hAnsi="Arial" w:cs="Arial"/>
                <w:sz w:val="24"/>
                <w:szCs w:val="24"/>
              </w:rPr>
              <w:t xml:space="preserve">through this process, including helping </w:t>
            </w:r>
            <w:r w:rsidR="24A452C5" w:rsidRPr="1246AE45">
              <w:rPr>
                <w:rFonts w:ascii="Arial" w:eastAsia="Arial" w:hAnsi="Arial" w:cs="Arial"/>
                <w:sz w:val="24"/>
                <w:szCs w:val="24"/>
              </w:rPr>
              <w:t>customers</w:t>
            </w:r>
            <w:r w:rsidR="371BBCD4" w:rsidRPr="7DB5D9EE">
              <w:rPr>
                <w:rFonts w:ascii="Arial" w:eastAsia="Arial" w:hAnsi="Arial" w:cs="Arial"/>
                <w:sz w:val="24"/>
                <w:szCs w:val="24"/>
              </w:rPr>
              <w:t xml:space="preserve"> </w:t>
            </w:r>
            <w:r w:rsidRPr="7DB5D9EE">
              <w:rPr>
                <w:rFonts w:ascii="Arial" w:eastAsia="Arial" w:hAnsi="Arial" w:cs="Arial"/>
                <w:sz w:val="24"/>
                <w:szCs w:val="24"/>
              </w:rPr>
              <w:t xml:space="preserve">find suitable </w:t>
            </w:r>
            <w:r w:rsidRPr="7DB5D9EE">
              <w:rPr>
                <w:rFonts w:ascii="Arial" w:eastAsia="Arial" w:hAnsi="Arial" w:cs="Arial"/>
                <w:sz w:val="24"/>
                <w:szCs w:val="24"/>
              </w:rPr>
              <w:lastRenderedPageBreak/>
              <w:t xml:space="preserve">alternative accommodation, keeping </w:t>
            </w:r>
            <w:r w:rsidR="2DB4EAE7" w:rsidRPr="1246AE45">
              <w:rPr>
                <w:rFonts w:ascii="Arial" w:eastAsia="Arial" w:hAnsi="Arial" w:cs="Arial"/>
                <w:sz w:val="24"/>
                <w:szCs w:val="24"/>
              </w:rPr>
              <w:t>customers</w:t>
            </w:r>
            <w:r w:rsidR="0D47D47F" w:rsidRPr="7DB5D9EE">
              <w:rPr>
                <w:rFonts w:ascii="Arial" w:eastAsia="Arial" w:hAnsi="Arial" w:cs="Arial"/>
                <w:sz w:val="24"/>
                <w:szCs w:val="24"/>
              </w:rPr>
              <w:t xml:space="preserve"> </w:t>
            </w:r>
            <w:r w:rsidRPr="7DB5D9EE">
              <w:rPr>
                <w:rFonts w:ascii="Arial" w:eastAsia="Arial" w:hAnsi="Arial" w:cs="Arial"/>
                <w:sz w:val="24"/>
                <w:szCs w:val="24"/>
              </w:rPr>
              <w:t>informed, and making sure individual needs are taken into account.</w:t>
            </w:r>
          </w:p>
          <w:p w14:paraId="0C0BF184" w14:textId="60F52C39" w:rsidR="00B26E53" w:rsidRPr="007634E1" w:rsidRDefault="52738231" w:rsidP="7DB5D9EE">
            <w:pPr>
              <w:spacing w:after="160" w:line="257" w:lineRule="auto"/>
            </w:pPr>
            <w:r w:rsidRPr="7DB5D9EE">
              <w:rPr>
                <w:rFonts w:ascii="Arial" w:eastAsia="Arial" w:hAnsi="Arial" w:cs="Arial"/>
                <w:sz w:val="24"/>
                <w:szCs w:val="24"/>
              </w:rPr>
              <w:t xml:space="preserve">The policy ensures decisions are fair, consistent and focused on </w:t>
            </w:r>
            <w:r w:rsidR="297E6456" w:rsidRPr="1246AE45">
              <w:rPr>
                <w:rFonts w:ascii="Arial" w:eastAsia="Arial" w:hAnsi="Arial" w:cs="Arial"/>
                <w:sz w:val="24"/>
                <w:szCs w:val="24"/>
              </w:rPr>
              <w:t>customers</w:t>
            </w:r>
            <w:r w:rsidR="56A78DAA" w:rsidRPr="7DB5D9EE">
              <w:rPr>
                <w:rFonts w:ascii="Arial" w:eastAsia="Arial" w:hAnsi="Arial" w:cs="Arial"/>
                <w:sz w:val="24"/>
                <w:szCs w:val="24"/>
              </w:rPr>
              <w:t xml:space="preserve"> </w:t>
            </w:r>
            <w:r w:rsidRPr="7DB5D9EE">
              <w:rPr>
                <w:rFonts w:ascii="Arial" w:eastAsia="Arial" w:hAnsi="Arial" w:cs="Arial"/>
                <w:sz w:val="24"/>
                <w:szCs w:val="24"/>
              </w:rPr>
              <w:t xml:space="preserve">safety and wellbeing, with clear guidance on what </w:t>
            </w:r>
            <w:r w:rsidR="5E6A20A7" w:rsidRPr="7DB5D9EE">
              <w:rPr>
                <w:rFonts w:ascii="Arial" w:eastAsia="Arial" w:hAnsi="Arial" w:cs="Arial"/>
                <w:sz w:val="24"/>
                <w:szCs w:val="24"/>
              </w:rPr>
              <w:t>to</w:t>
            </w:r>
            <w:r w:rsidRPr="7DB5D9EE">
              <w:rPr>
                <w:rFonts w:ascii="Arial" w:eastAsia="Arial" w:hAnsi="Arial" w:cs="Arial"/>
                <w:sz w:val="24"/>
                <w:szCs w:val="24"/>
              </w:rPr>
              <w:t xml:space="preserve"> expect from us at each stage.</w:t>
            </w:r>
          </w:p>
          <w:p w14:paraId="6E8D4301" w14:textId="1EC59F86" w:rsidR="00B26E53" w:rsidRPr="007634E1" w:rsidRDefault="52738231" w:rsidP="7DB5D9EE">
            <w:pPr>
              <w:spacing w:after="160" w:line="257" w:lineRule="auto"/>
            </w:pPr>
            <w:r w:rsidRPr="7DB5D9EE">
              <w:rPr>
                <w:rFonts w:ascii="Arial" w:eastAsia="Arial" w:hAnsi="Arial" w:cs="Arial"/>
                <w:sz w:val="24"/>
                <w:szCs w:val="24"/>
              </w:rPr>
              <w:t>A communication plan is being developed to help tenants understand the policy, what support is available, and what to expect if a move is required.</w:t>
            </w:r>
          </w:p>
          <w:p w14:paraId="1581CC81" w14:textId="2A0F7CA3" w:rsidR="00B26E53" w:rsidRPr="007634E1" w:rsidRDefault="00B26E53" w:rsidP="7DB5D9EE">
            <w:pPr>
              <w:rPr>
                <w:rFonts w:ascii="Arial" w:hAnsi="Arial" w:cs="Arial"/>
                <w:sz w:val="24"/>
                <w:szCs w:val="24"/>
              </w:rPr>
            </w:pPr>
          </w:p>
        </w:tc>
      </w:tr>
      <w:tr w:rsidR="00E72EEB" w:rsidRPr="00B75F93" w14:paraId="78FA1688" w14:textId="0112C923" w:rsidTr="44AF77C2">
        <w:tc>
          <w:tcPr>
            <w:tcW w:w="2064" w:type="dxa"/>
          </w:tcPr>
          <w:p w14:paraId="43ED15EB" w14:textId="7D29164B" w:rsidR="000423CB" w:rsidRPr="00526A0F" w:rsidRDefault="00DD167D" w:rsidP="000423CB">
            <w:pPr>
              <w:rPr>
                <w:rFonts w:ascii="Arial" w:hAnsi="Arial" w:cs="Arial"/>
              </w:rPr>
            </w:pPr>
            <w:r>
              <w:rPr>
                <w:rFonts w:ascii="Arial" w:hAnsi="Arial" w:cs="Arial"/>
              </w:rPr>
              <w:lastRenderedPageBreak/>
              <w:t xml:space="preserve">13. </w:t>
            </w:r>
            <w:r w:rsidR="000423CB" w:rsidRPr="00526A0F">
              <w:rPr>
                <w:rFonts w:ascii="Arial" w:hAnsi="Arial" w:cs="Arial"/>
              </w:rPr>
              <w:t>Safety and Compliance Dashboard</w:t>
            </w:r>
          </w:p>
          <w:p w14:paraId="1E418BA9" w14:textId="238BC40E" w:rsidR="00E72EEB" w:rsidRPr="00B75F93" w:rsidRDefault="00E72EEB" w:rsidP="00E72EEB">
            <w:pPr>
              <w:rPr>
                <w:rFonts w:ascii="Arial" w:hAnsi="Arial" w:cs="Arial"/>
                <w:sz w:val="24"/>
                <w:szCs w:val="24"/>
              </w:rPr>
            </w:pPr>
          </w:p>
        </w:tc>
        <w:tc>
          <w:tcPr>
            <w:tcW w:w="4724" w:type="dxa"/>
          </w:tcPr>
          <w:p w14:paraId="52CE2D99" w14:textId="77777777" w:rsidR="00E72EEB" w:rsidRDefault="00D25CA0" w:rsidP="00E72EEB">
            <w:pPr>
              <w:rPr>
                <w:rFonts w:ascii="Arial" w:hAnsi="Arial" w:cs="Arial"/>
                <w:sz w:val="24"/>
                <w:szCs w:val="24"/>
              </w:rPr>
            </w:pPr>
            <w:r>
              <w:rPr>
                <w:rFonts w:ascii="Arial" w:hAnsi="Arial" w:cs="Arial"/>
                <w:sz w:val="24"/>
                <w:szCs w:val="24"/>
              </w:rPr>
              <w:t>Board received a regular update on how SLHD is performing against the 7 areas of compliance for homes and buildings they have management responsibility for.</w:t>
            </w:r>
          </w:p>
          <w:p w14:paraId="53979348" w14:textId="0BF115F4" w:rsidR="00D25CA0" w:rsidRPr="00B75F93" w:rsidRDefault="00D25CA0" w:rsidP="00E72EEB">
            <w:pPr>
              <w:rPr>
                <w:rFonts w:ascii="Arial" w:hAnsi="Arial" w:cs="Arial"/>
                <w:sz w:val="24"/>
                <w:szCs w:val="24"/>
              </w:rPr>
            </w:pPr>
          </w:p>
        </w:tc>
        <w:tc>
          <w:tcPr>
            <w:tcW w:w="3580" w:type="dxa"/>
          </w:tcPr>
          <w:p w14:paraId="78BDDB97" w14:textId="59766BAB" w:rsidR="00E72EEB" w:rsidRPr="003D56C7" w:rsidRDefault="00CF1DDD" w:rsidP="00E72EEB">
            <w:pPr>
              <w:jc w:val="both"/>
              <w:rPr>
                <w:rFonts w:ascii="Arial" w:hAnsi="Arial" w:cs="Arial"/>
                <w:sz w:val="24"/>
                <w:szCs w:val="24"/>
              </w:rPr>
            </w:pPr>
            <w:r>
              <w:rPr>
                <w:rFonts w:ascii="Arial" w:hAnsi="Arial" w:cs="Arial"/>
                <w:sz w:val="24"/>
                <w:szCs w:val="24"/>
              </w:rPr>
              <w:t>Board noted</w:t>
            </w:r>
            <w:r w:rsidR="00F72C94">
              <w:rPr>
                <w:rFonts w:ascii="Arial" w:hAnsi="Arial" w:cs="Arial"/>
                <w:sz w:val="24"/>
                <w:szCs w:val="24"/>
              </w:rPr>
              <w:t xml:space="preserve"> </w:t>
            </w:r>
            <w:r w:rsidR="00C27151">
              <w:rPr>
                <w:rFonts w:ascii="Arial" w:hAnsi="Arial" w:cs="Arial"/>
                <w:sz w:val="24"/>
                <w:szCs w:val="24"/>
              </w:rPr>
              <w:t>performance against all areas of compliance.</w:t>
            </w:r>
          </w:p>
        </w:tc>
        <w:tc>
          <w:tcPr>
            <w:tcW w:w="3580" w:type="dxa"/>
            <w:shd w:val="clear" w:color="auto" w:fill="FFF2CC" w:themeFill="accent4" w:themeFillTint="33"/>
          </w:tcPr>
          <w:p w14:paraId="4604AE4D" w14:textId="2347D5B7" w:rsidR="00E72EEB" w:rsidRPr="007634E1" w:rsidRDefault="10EA9FA7" w:rsidP="7DB5D9EE">
            <w:pPr>
              <w:jc w:val="both"/>
              <w:rPr>
                <w:rFonts w:ascii="Arial" w:hAnsi="Arial" w:cs="Arial"/>
                <w:sz w:val="24"/>
                <w:szCs w:val="24"/>
              </w:rPr>
            </w:pPr>
            <w:r w:rsidRPr="7DB5D9EE">
              <w:rPr>
                <w:rFonts w:ascii="Arial" w:hAnsi="Arial" w:cs="Arial"/>
                <w:sz w:val="24"/>
                <w:szCs w:val="24"/>
              </w:rPr>
              <w:t>This report is important to customers as it de</w:t>
            </w:r>
            <w:r w:rsidR="026BDFE3" w:rsidRPr="7DB5D9EE">
              <w:rPr>
                <w:rFonts w:ascii="Arial" w:hAnsi="Arial" w:cs="Arial"/>
                <w:sz w:val="24"/>
                <w:szCs w:val="24"/>
              </w:rPr>
              <w:t>monstrates</w:t>
            </w:r>
            <w:r w:rsidRPr="7DB5D9EE">
              <w:rPr>
                <w:rFonts w:ascii="Arial" w:hAnsi="Arial" w:cs="Arial"/>
                <w:sz w:val="24"/>
                <w:szCs w:val="24"/>
              </w:rPr>
              <w:t xml:space="preserve"> </w:t>
            </w:r>
            <w:r w:rsidR="6207F804" w:rsidRPr="7DB5D9EE">
              <w:rPr>
                <w:rFonts w:ascii="Arial" w:hAnsi="Arial" w:cs="Arial"/>
                <w:sz w:val="24"/>
                <w:szCs w:val="24"/>
              </w:rPr>
              <w:t>how we are</w:t>
            </w:r>
            <w:r w:rsidRPr="7DB5D9EE">
              <w:rPr>
                <w:rFonts w:ascii="Arial" w:hAnsi="Arial" w:cs="Arial"/>
                <w:sz w:val="24"/>
                <w:szCs w:val="24"/>
              </w:rPr>
              <w:t xml:space="preserve"> perform</w:t>
            </w:r>
            <w:r w:rsidR="08D52146" w:rsidRPr="7DB5D9EE">
              <w:rPr>
                <w:rFonts w:ascii="Arial" w:hAnsi="Arial" w:cs="Arial"/>
                <w:sz w:val="24"/>
                <w:szCs w:val="24"/>
              </w:rPr>
              <w:t xml:space="preserve">ing against key safety obligations in the homes we manage. </w:t>
            </w:r>
          </w:p>
          <w:p w14:paraId="3561D2EF" w14:textId="6EDBC13E" w:rsidR="00E72EEB" w:rsidRPr="007634E1" w:rsidRDefault="08D52146" w:rsidP="7DB5D9EE">
            <w:pPr>
              <w:jc w:val="both"/>
              <w:rPr>
                <w:rFonts w:ascii="Arial" w:hAnsi="Arial" w:cs="Arial"/>
                <w:sz w:val="24"/>
                <w:szCs w:val="24"/>
              </w:rPr>
            </w:pPr>
            <w:r w:rsidRPr="7DB5D9EE">
              <w:rPr>
                <w:rFonts w:ascii="Arial" w:hAnsi="Arial" w:cs="Arial"/>
                <w:sz w:val="24"/>
                <w:szCs w:val="24"/>
              </w:rPr>
              <w:t xml:space="preserve">By </w:t>
            </w:r>
            <w:r w:rsidR="27C181F1" w:rsidRPr="7DB5D9EE">
              <w:rPr>
                <w:rFonts w:ascii="Arial" w:hAnsi="Arial" w:cs="Arial"/>
                <w:sz w:val="24"/>
                <w:szCs w:val="24"/>
              </w:rPr>
              <w:t>openly reporting</w:t>
            </w:r>
            <w:r w:rsidR="573958EF" w:rsidRPr="7DB5D9EE">
              <w:rPr>
                <w:rFonts w:ascii="Arial" w:hAnsi="Arial" w:cs="Arial"/>
                <w:sz w:val="24"/>
                <w:szCs w:val="24"/>
              </w:rPr>
              <w:t xml:space="preserve"> compliance levels, areas of non-compliance </w:t>
            </w:r>
            <w:r w:rsidR="167119E8" w:rsidRPr="7DB5D9EE">
              <w:rPr>
                <w:rFonts w:ascii="Arial" w:hAnsi="Arial" w:cs="Arial"/>
                <w:sz w:val="24"/>
                <w:szCs w:val="24"/>
              </w:rPr>
              <w:t>and the actions being taken to address any issues customers can see how risks are being managed and how SLHD is working to keep customers safe.</w:t>
            </w:r>
            <w:r w:rsidR="10EA9FA7" w:rsidRPr="7DB5D9EE">
              <w:rPr>
                <w:rFonts w:ascii="Arial" w:hAnsi="Arial" w:cs="Arial"/>
                <w:sz w:val="24"/>
                <w:szCs w:val="24"/>
              </w:rPr>
              <w:t xml:space="preserve"> </w:t>
            </w:r>
          </w:p>
          <w:p w14:paraId="3E56BAA5" w14:textId="0178CCAC" w:rsidR="00E72EEB" w:rsidRPr="007634E1" w:rsidRDefault="4A714337" w:rsidP="7DB5D9EE">
            <w:pPr>
              <w:jc w:val="both"/>
            </w:pPr>
            <w:r w:rsidRPr="7DB5D9EE">
              <w:rPr>
                <w:rFonts w:ascii="Arial" w:hAnsi="Arial" w:cs="Arial"/>
                <w:sz w:val="24"/>
                <w:szCs w:val="24"/>
              </w:rPr>
              <w:lastRenderedPageBreak/>
              <w:t>It is also important for customers to understand the impact of giving us access to carry out these importa</w:t>
            </w:r>
            <w:r w:rsidR="16F19210" w:rsidRPr="7DB5D9EE">
              <w:rPr>
                <w:rFonts w:ascii="Arial" w:hAnsi="Arial" w:cs="Arial"/>
                <w:sz w:val="24"/>
                <w:szCs w:val="24"/>
              </w:rPr>
              <w:t>nt inspections and the impact of ‘no access’.</w:t>
            </w:r>
          </w:p>
          <w:p w14:paraId="48BAE2E3" w14:textId="6ED9A71F" w:rsidR="00E72EEB" w:rsidRPr="007634E1" w:rsidRDefault="00E72EEB" w:rsidP="7DB5D9EE">
            <w:pPr>
              <w:jc w:val="both"/>
              <w:rPr>
                <w:rFonts w:ascii="Arial" w:hAnsi="Arial" w:cs="Arial"/>
                <w:sz w:val="24"/>
                <w:szCs w:val="24"/>
              </w:rPr>
            </w:pPr>
          </w:p>
        </w:tc>
      </w:tr>
      <w:tr w:rsidR="00E72EEB" w:rsidRPr="005B56ED" w14:paraId="297DF7C7" w14:textId="60443CD2" w:rsidTr="44AF77C2">
        <w:tc>
          <w:tcPr>
            <w:tcW w:w="2064" w:type="dxa"/>
          </w:tcPr>
          <w:p w14:paraId="2C4F5293" w14:textId="6DCDDC89" w:rsidR="00E72EEB" w:rsidRPr="005B56ED" w:rsidRDefault="008857BE" w:rsidP="00E72EEB">
            <w:pPr>
              <w:rPr>
                <w:rFonts w:ascii="Arial" w:hAnsi="Arial" w:cs="Arial"/>
                <w:sz w:val="24"/>
                <w:szCs w:val="24"/>
              </w:rPr>
            </w:pPr>
            <w:r>
              <w:rPr>
                <w:rFonts w:ascii="Arial" w:hAnsi="Arial" w:cs="Arial"/>
                <w:szCs w:val="20"/>
              </w:rPr>
              <w:lastRenderedPageBreak/>
              <w:t xml:space="preserve">17. </w:t>
            </w:r>
            <w:r w:rsidR="003E5312" w:rsidRPr="00526A0F">
              <w:rPr>
                <w:rFonts w:ascii="Arial" w:hAnsi="Arial" w:cs="Arial"/>
                <w:szCs w:val="20"/>
              </w:rPr>
              <w:t>Year-end KPI Performance</w:t>
            </w:r>
          </w:p>
        </w:tc>
        <w:tc>
          <w:tcPr>
            <w:tcW w:w="4724" w:type="dxa"/>
          </w:tcPr>
          <w:p w14:paraId="276B6324" w14:textId="2719979A" w:rsidR="004C5B38" w:rsidRDefault="00763C9A" w:rsidP="00E72EEB">
            <w:pPr>
              <w:rPr>
                <w:rFonts w:ascii="Arial" w:hAnsi="Arial" w:cs="Arial"/>
                <w:sz w:val="24"/>
                <w:szCs w:val="24"/>
              </w:rPr>
            </w:pPr>
            <w:r>
              <w:rPr>
                <w:rFonts w:ascii="Arial" w:hAnsi="Arial" w:cs="Arial"/>
                <w:sz w:val="24"/>
                <w:szCs w:val="24"/>
              </w:rPr>
              <w:t>Board re</w:t>
            </w:r>
            <w:r w:rsidR="00794955">
              <w:rPr>
                <w:rFonts w:ascii="Arial" w:hAnsi="Arial" w:cs="Arial"/>
                <w:sz w:val="24"/>
                <w:szCs w:val="24"/>
              </w:rPr>
              <w:t>ceived</w:t>
            </w:r>
            <w:r>
              <w:rPr>
                <w:rFonts w:ascii="Arial" w:hAnsi="Arial" w:cs="Arial"/>
                <w:sz w:val="24"/>
                <w:szCs w:val="24"/>
              </w:rPr>
              <w:t xml:space="preserve"> the annual </w:t>
            </w:r>
            <w:r w:rsidR="00794955">
              <w:rPr>
                <w:rFonts w:ascii="Arial" w:hAnsi="Arial" w:cs="Arial"/>
                <w:sz w:val="24"/>
                <w:szCs w:val="24"/>
              </w:rPr>
              <w:t xml:space="preserve">report detailing </w:t>
            </w:r>
            <w:r w:rsidR="00E927D7">
              <w:rPr>
                <w:rFonts w:ascii="Arial" w:hAnsi="Arial" w:cs="Arial"/>
                <w:sz w:val="24"/>
                <w:szCs w:val="24"/>
              </w:rPr>
              <w:t xml:space="preserve">our </w:t>
            </w:r>
            <w:r w:rsidR="004C5B38">
              <w:rPr>
                <w:rFonts w:ascii="Arial" w:hAnsi="Arial" w:cs="Arial"/>
                <w:sz w:val="24"/>
                <w:szCs w:val="24"/>
              </w:rPr>
              <w:t xml:space="preserve">performance </w:t>
            </w:r>
            <w:r w:rsidR="003D1F21">
              <w:rPr>
                <w:rFonts w:ascii="Arial" w:hAnsi="Arial" w:cs="Arial"/>
                <w:sz w:val="24"/>
                <w:szCs w:val="24"/>
              </w:rPr>
              <w:t>during the full year of 2025/26.</w:t>
            </w:r>
          </w:p>
          <w:p w14:paraId="3E6C4A0B" w14:textId="77777777" w:rsidR="004C5B38" w:rsidRDefault="004C5B38" w:rsidP="00E72EEB">
            <w:pPr>
              <w:rPr>
                <w:rFonts w:ascii="Arial" w:hAnsi="Arial" w:cs="Arial"/>
                <w:sz w:val="24"/>
                <w:szCs w:val="24"/>
              </w:rPr>
            </w:pPr>
          </w:p>
          <w:p w14:paraId="41E1E131" w14:textId="77777777" w:rsidR="004C5B38" w:rsidRDefault="004C5B38" w:rsidP="00E72EEB">
            <w:pPr>
              <w:rPr>
                <w:rFonts w:ascii="Arial" w:hAnsi="Arial" w:cs="Arial"/>
                <w:sz w:val="24"/>
                <w:szCs w:val="24"/>
              </w:rPr>
            </w:pPr>
          </w:p>
          <w:p w14:paraId="7A1F9AAE" w14:textId="5B616162" w:rsidR="00E72EEB" w:rsidRPr="005B56ED" w:rsidRDefault="00794955" w:rsidP="00E72EEB">
            <w:pPr>
              <w:rPr>
                <w:rFonts w:ascii="Arial" w:hAnsi="Arial" w:cs="Arial"/>
                <w:sz w:val="24"/>
                <w:szCs w:val="24"/>
              </w:rPr>
            </w:pPr>
            <w:r>
              <w:rPr>
                <w:rFonts w:ascii="Arial" w:hAnsi="Arial" w:cs="Arial"/>
                <w:sz w:val="24"/>
                <w:szCs w:val="24"/>
              </w:rPr>
              <w:t xml:space="preserve"> </w:t>
            </w:r>
          </w:p>
        </w:tc>
        <w:tc>
          <w:tcPr>
            <w:tcW w:w="3580" w:type="dxa"/>
          </w:tcPr>
          <w:p w14:paraId="48D38BDC" w14:textId="37932E63" w:rsidR="00E72EEB" w:rsidRPr="003D56C7" w:rsidRDefault="002A4210" w:rsidP="00E72EEB">
            <w:pPr>
              <w:rPr>
                <w:rFonts w:ascii="Arial" w:hAnsi="Arial" w:cs="Arial"/>
                <w:sz w:val="24"/>
                <w:szCs w:val="24"/>
              </w:rPr>
            </w:pPr>
            <w:r>
              <w:rPr>
                <w:rFonts w:ascii="Arial" w:hAnsi="Arial" w:cs="Arial"/>
                <w:sz w:val="24"/>
                <w:szCs w:val="24"/>
              </w:rPr>
              <w:t>Board noted the achievements of the workforce during 2025-26.</w:t>
            </w:r>
          </w:p>
        </w:tc>
        <w:tc>
          <w:tcPr>
            <w:tcW w:w="3580" w:type="dxa"/>
            <w:shd w:val="clear" w:color="auto" w:fill="FFF2CC" w:themeFill="accent4" w:themeFillTint="33"/>
          </w:tcPr>
          <w:p w14:paraId="4733616A" w14:textId="1755B469" w:rsidR="00E72EEB" w:rsidRPr="007634E1" w:rsidRDefault="1BC29610" w:rsidP="7DB5D9EE">
            <w:r w:rsidRPr="7DB5D9EE">
              <w:rPr>
                <w:rFonts w:ascii="Arial" w:eastAsia="Arial" w:hAnsi="Arial" w:cs="Arial"/>
                <w:sz w:val="24"/>
                <w:szCs w:val="24"/>
              </w:rPr>
              <w:t xml:space="preserve">A range of KPIs (Key Performance Indicators), set by </w:t>
            </w:r>
            <w:r w:rsidR="6F99D5B2" w:rsidRPr="1246AE45">
              <w:rPr>
                <w:rFonts w:ascii="Arial" w:eastAsia="Arial" w:hAnsi="Arial" w:cs="Arial"/>
                <w:sz w:val="24"/>
                <w:szCs w:val="24"/>
              </w:rPr>
              <w:t>City of Doncaster Council (</w:t>
            </w:r>
            <w:r w:rsidRPr="7DB5D9EE">
              <w:rPr>
                <w:rFonts w:ascii="Arial" w:eastAsia="Arial" w:hAnsi="Arial" w:cs="Arial"/>
                <w:sz w:val="24"/>
                <w:szCs w:val="24"/>
              </w:rPr>
              <w:t>CDC</w:t>
            </w:r>
            <w:r w:rsidR="23D7D7A8" w:rsidRPr="1246AE45">
              <w:rPr>
                <w:rFonts w:ascii="Arial" w:eastAsia="Arial" w:hAnsi="Arial" w:cs="Arial"/>
                <w:sz w:val="24"/>
                <w:szCs w:val="24"/>
              </w:rPr>
              <w:t>)</w:t>
            </w:r>
            <w:r w:rsidRPr="7DB5D9EE">
              <w:rPr>
                <w:rFonts w:ascii="Arial" w:eastAsia="Arial" w:hAnsi="Arial" w:cs="Arial"/>
                <w:sz w:val="24"/>
                <w:szCs w:val="24"/>
              </w:rPr>
              <w:t xml:space="preserve"> at the start of every year, ensures every service area and therefore every </w:t>
            </w:r>
            <w:r w:rsidR="7E12B813" w:rsidRPr="1246AE45">
              <w:rPr>
                <w:rFonts w:ascii="Arial" w:eastAsia="Arial" w:hAnsi="Arial" w:cs="Arial"/>
                <w:sz w:val="24"/>
                <w:szCs w:val="24"/>
              </w:rPr>
              <w:t>customer</w:t>
            </w:r>
            <w:r w:rsidRPr="7DB5D9EE">
              <w:rPr>
                <w:rFonts w:ascii="Arial" w:eastAsia="Arial" w:hAnsi="Arial" w:cs="Arial"/>
                <w:sz w:val="24"/>
                <w:szCs w:val="24"/>
              </w:rPr>
              <w:t xml:space="preserve"> benefits from strong performance. Meeting or exceeding </w:t>
            </w:r>
            <w:r w:rsidR="473B8EA8" w:rsidRPr="1246AE45">
              <w:rPr>
                <w:rFonts w:ascii="Arial" w:eastAsia="Arial" w:hAnsi="Arial" w:cs="Arial"/>
                <w:sz w:val="24"/>
                <w:szCs w:val="24"/>
              </w:rPr>
              <w:t>th</w:t>
            </w:r>
            <w:r w:rsidR="4C6B5588" w:rsidRPr="1246AE45">
              <w:rPr>
                <w:rFonts w:ascii="Arial" w:eastAsia="Arial" w:hAnsi="Arial" w:cs="Arial"/>
                <w:sz w:val="24"/>
                <w:szCs w:val="24"/>
              </w:rPr>
              <w:t>ese</w:t>
            </w:r>
            <w:r w:rsidRPr="7DB5D9EE">
              <w:rPr>
                <w:rFonts w:ascii="Arial" w:eastAsia="Arial" w:hAnsi="Arial" w:cs="Arial"/>
                <w:sz w:val="24"/>
                <w:szCs w:val="24"/>
              </w:rPr>
              <w:t xml:space="preserve"> KPIs</w:t>
            </w:r>
            <w:r w:rsidR="52BA3639" w:rsidRPr="1246AE45">
              <w:rPr>
                <w:rFonts w:ascii="Arial" w:eastAsia="Arial" w:hAnsi="Arial" w:cs="Arial"/>
                <w:sz w:val="24"/>
                <w:szCs w:val="24"/>
              </w:rPr>
              <w:t>,</w:t>
            </w:r>
            <w:r w:rsidRPr="7DB5D9EE">
              <w:rPr>
                <w:rFonts w:ascii="Arial" w:eastAsia="Arial" w:hAnsi="Arial" w:cs="Arial"/>
                <w:sz w:val="24"/>
                <w:szCs w:val="24"/>
              </w:rPr>
              <w:t xml:space="preserve"> whilst managing the </w:t>
            </w:r>
            <w:r w:rsidR="0987DD5B" w:rsidRPr="7DB5D9EE">
              <w:rPr>
                <w:rFonts w:ascii="Arial" w:eastAsia="Arial" w:hAnsi="Arial" w:cs="Arial"/>
                <w:sz w:val="24"/>
                <w:szCs w:val="24"/>
              </w:rPr>
              <w:t>housing stock and related assets</w:t>
            </w:r>
            <w:r w:rsidR="10FEAF55" w:rsidRPr="1246AE45">
              <w:rPr>
                <w:rFonts w:ascii="Arial" w:eastAsia="Arial" w:hAnsi="Arial" w:cs="Arial"/>
                <w:sz w:val="24"/>
                <w:szCs w:val="24"/>
              </w:rPr>
              <w:t>,</w:t>
            </w:r>
            <w:r w:rsidR="0987DD5B" w:rsidRPr="7DB5D9EE">
              <w:rPr>
                <w:rFonts w:ascii="Arial" w:eastAsia="Arial" w:hAnsi="Arial" w:cs="Arial"/>
                <w:sz w:val="24"/>
                <w:szCs w:val="24"/>
              </w:rPr>
              <w:t xml:space="preserve"> will have a positive impact on all tenants and contribute to St Leger </w:t>
            </w:r>
            <w:r w:rsidR="01131A6F" w:rsidRPr="1246AE45">
              <w:rPr>
                <w:rFonts w:ascii="Arial" w:eastAsia="Arial" w:hAnsi="Arial" w:cs="Arial"/>
                <w:sz w:val="24"/>
                <w:szCs w:val="24"/>
              </w:rPr>
              <w:t>Homes</w:t>
            </w:r>
            <w:r w:rsidR="1CE25823" w:rsidRPr="1246AE45">
              <w:rPr>
                <w:rFonts w:ascii="Arial" w:eastAsia="Arial" w:hAnsi="Arial" w:cs="Arial"/>
                <w:sz w:val="24"/>
                <w:szCs w:val="24"/>
              </w:rPr>
              <w:t xml:space="preserve"> </w:t>
            </w:r>
            <w:r w:rsidR="0987DD5B" w:rsidRPr="7DB5D9EE">
              <w:rPr>
                <w:rFonts w:ascii="Arial" w:eastAsia="Arial" w:hAnsi="Arial" w:cs="Arial"/>
                <w:sz w:val="24"/>
                <w:szCs w:val="24"/>
              </w:rPr>
              <w:t xml:space="preserve">meeting its strategic objectives and in turn the Council’s priorities for the </w:t>
            </w:r>
            <w:r w:rsidR="185EA5D7" w:rsidRPr="1246AE45">
              <w:rPr>
                <w:rFonts w:ascii="Arial" w:eastAsia="Arial" w:hAnsi="Arial" w:cs="Arial"/>
                <w:sz w:val="24"/>
                <w:szCs w:val="24"/>
              </w:rPr>
              <w:t>C</w:t>
            </w:r>
            <w:r w:rsidR="1CE25823" w:rsidRPr="1246AE45">
              <w:rPr>
                <w:rFonts w:ascii="Arial" w:eastAsia="Arial" w:hAnsi="Arial" w:cs="Arial"/>
                <w:sz w:val="24"/>
                <w:szCs w:val="24"/>
              </w:rPr>
              <w:t>ity.</w:t>
            </w:r>
          </w:p>
          <w:p w14:paraId="34DE20FA" w14:textId="6B3AC30B" w:rsidR="00E72EEB" w:rsidRPr="007634E1" w:rsidRDefault="00E72EEB" w:rsidP="7DB5D9EE">
            <w:pPr>
              <w:rPr>
                <w:rFonts w:ascii="Arial" w:eastAsia="Arial" w:hAnsi="Arial" w:cs="Arial"/>
                <w:sz w:val="24"/>
                <w:szCs w:val="24"/>
              </w:rPr>
            </w:pPr>
          </w:p>
        </w:tc>
      </w:tr>
      <w:tr w:rsidR="00E72EEB" w:rsidRPr="00DA01F3" w14:paraId="2869CC36" w14:textId="449481F3" w:rsidTr="44AF77C2">
        <w:tc>
          <w:tcPr>
            <w:tcW w:w="2064" w:type="dxa"/>
          </w:tcPr>
          <w:p w14:paraId="672A678C" w14:textId="56E9B153" w:rsidR="00E72EEB" w:rsidRPr="00DA01F3" w:rsidRDefault="003A2C56" w:rsidP="00E72EEB">
            <w:pPr>
              <w:rPr>
                <w:rFonts w:ascii="Arial" w:hAnsi="Arial" w:cs="Arial"/>
                <w:sz w:val="24"/>
                <w:szCs w:val="24"/>
              </w:rPr>
            </w:pPr>
            <w:r>
              <w:rPr>
                <w:rFonts w:ascii="Arial" w:hAnsi="Arial" w:cs="Arial"/>
                <w:szCs w:val="20"/>
              </w:rPr>
              <w:t xml:space="preserve">19. </w:t>
            </w:r>
            <w:r w:rsidR="00811C9C" w:rsidRPr="00526A0F">
              <w:rPr>
                <w:rFonts w:ascii="Arial" w:hAnsi="Arial" w:cs="Arial"/>
                <w:szCs w:val="20"/>
              </w:rPr>
              <w:t>Allocations and Mutual Exchanges Update</w:t>
            </w:r>
          </w:p>
        </w:tc>
        <w:tc>
          <w:tcPr>
            <w:tcW w:w="4724" w:type="dxa"/>
          </w:tcPr>
          <w:p w14:paraId="15188611" w14:textId="77777777" w:rsidR="00E72EEB" w:rsidRDefault="000F39A2" w:rsidP="00E72EEB">
            <w:pPr>
              <w:jc w:val="both"/>
              <w:rPr>
                <w:rFonts w:ascii="Arial" w:hAnsi="Arial" w:cs="Arial"/>
                <w:sz w:val="24"/>
                <w:szCs w:val="24"/>
              </w:rPr>
            </w:pPr>
            <w:r>
              <w:rPr>
                <w:rFonts w:ascii="Arial" w:hAnsi="Arial" w:cs="Arial"/>
                <w:sz w:val="24"/>
                <w:szCs w:val="24"/>
              </w:rPr>
              <w:t xml:space="preserve">Board received the annual </w:t>
            </w:r>
            <w:r w:rsidR="008B02A8">
              <w:rPr>
                <w:rFonts w:ascii="Arial" w:hAnsi="Arial" w:cs="Arial"/>
                <w:sz w:val="24"/>
                <w:szCs w:val="24"/>
              </w:rPr>
              <w:t>summary showing housing re</w:t>
            </w:r>
            <w:r w:rsidR="00755EDD">
              <w:rPr>
                <w:rFonts w:ascii="Arial" w:hAnsi="Arial" w:cs="Arial"/>
                <w:sz w:val="24"/>
                <w:szCs w:val="24"/>
              </w:rPr>
              <w:t>g</w:t>
            </w:r>
            <w:r w:rsidR="008B02A8">
              <w:rPr>
                <w:rFonts w:ascii="Arial" w:hAnsi="Arial" w:cs="Arial"/>
                <w:sz w:val="24"/>
                <w:szCs w:val="24"/>
              </w:rPr>
              <w:t>ister applica</w:t>
            </w:r>
            <w:r w:rsidR="00755EDD">
              <w:rPr>
                <w:rFonts w:ascii="Arial" w:hAnsi="Arial" w:cs="Arial"/>
                <w:sz w:val="24"/>
                <w:szCs w:val="24"/>
              </w:rPr>
              <w:t xml:space="preserve">nt </w:t>
            </w:r>
            <w:r w:rsidR="008B02A8">
              <w:rPr>
                <w:rFonts w:ascii="Arial" w:hAnsi="Arial" w:cs="Arial"/>
                <w:sz w:val="24"/>
                <w:szCs w:val="24"/>
              </w:rPr>
              <w:t>numbers broken down by band</w:t>
            </w:r>
            <w:r w:rsidR="00716440">
              <w:rPr>
                <w:rFonts w:ascii="Arial" w:hAnsi="Arial" w:cs="Arial"/>
                <w:sz w:val="24"/>
                <w:szCs w:val="24"/>
              </w:rPr>
              <w:t xml:space="preserve"> and</w:t>
            </w:r>
            <w:r w:rsidR="00755EDD">
              <w:rPr>
                <w:rFonts w:ascii="Arial" w:hAnsi="Arial" w:cs="Arial"/>
                <w:sz w:val="24"/>
                <w:szCs w:val="24"/>
              </w:rPr>
              <w:t xml:space="preserve"> </w:t>
            </w:r>
            <w:r w:rsidR="00716440">
              <w:rPr>
                <w:rFonts w:ascii="Arial" w:hAnsi="Arial" w:cs="Arial"/>
                <w:sz w:val="24"/>
                <w:szCs w:val="24"/>
              </w:rPr>
              <w:t>household type al</w:t>
            </w:r>
            <w:r w:rsidR="00755EDD">
              <w:rPr>
                <w:rFonts w:ascii="Arial" w:hAnsi="Arial" w:cs="Arial"/>
                <w:sz w:val="24"/>
                <w:szCs w:val="24"/>
              </w:rPr>
              <w:t>o</w:t>
            </w:r>
            <w:r w:rsidR="00716440">
              <w:rPr>
                <w:rFonts w:ascii="Arial" w:hAnsi="Arial" w:cs="Arial"/>
                <w:sz w:val="24"/>
                <w:szCs w:val="24"/>
              </w:rPr>
              <w:t>ng with the number of lettings by area and mutual exchange activity</w:t>
            </w:r>
            <w:r w:rsidR="00755EDD">
              <w:rPr>
                <w:rFonts w:ascii="Arial" w:hAnsi="Arial" w:cs="Arial"/>
                <w:sz w:val="24"/>
                <w:szCs w:val="24"/>
              </w:rPr>
              <w:t>.</w:t>
            </w:r>
          </w:p>
          <w:p w14:paraId="60D3622A" w14:textId="23C72902" w:rsidR="00755EDD" w:rsidRPr="0050474B" w:rsidRDefault="00755EDD" w:rsidP="00E72EEB">
            <w:pPr>
              <w:jc w:val="both"/>
              <w:rPr>
                <w:rFonts w:ascii="Arial" w:hAnsi="Arial" w:cs="Arial"/>
                <w:sz w:val="24"/>
                <w:szCs w:val="24"/>
              </w:rPr>
            </w:pPr>
          </w:p>
        </w:tc>
        <w:tc>
          <w:tcPr>
            <w:tcW w:w="3580" w:type="dxa"/>
          </w:tcPr>
          <w:p w14:paraId="5B8C9363" w14:textId="24E11EF1" w:rsidR="00E72EEB" w:rsidRPr="003D56C7" w:rsidRDefault="002A4210" w:rsidP="00E72EEB">
            <w:pPr>
              <w:jc w:val="both"/>
              <w:rPr>
                <w:rFonts w:ascii="Arial" w:hAnsi="Arial" w:cs="Arial"/>
                <w:sz w:val="24"/>
                <w:szCs w:val="24"/>
              </w:rPr>
            </w:pPr>
            <w:r>
              <w:rPr>
                <w:rFonts w:ascii="Arial" w:hAnsi="Arial" w:cs="Arial"/>
                <w:sz w:val="24"/>
                <w:szCs w:val="24"/>
              </w:rPr>
              <w:t>Board noted the information provided.</w:t>
            </w:r>
          </w:p>
        </w:tc>
        <w:tc>
          <w:tcPr>
            <w:tcW w:w="3580" w:type="dxa"/>
            <w:shd w:val="clear" w:color="auto" w:fill="FFF2CC" w:themeFill="accent4" w:themeFillTint="33"/>
          </w:tcPr>
          <w:p w14:paraId="3874BF35" w14:textId="2775D492" w:rsidR="00E72EEB" w:rsidRPr="007634E1" w:rsidRDefault="262FFF7F" w:rsidP="00E72EEB">
            <w:pPr>
              <w:jc w:val="both"/>
            </w:pPr>
            <w:r w:rsidRPr="44AF77C2">
              <w:rPr>
                <w:rFonts w:ascii="Arial" w:hAnsi="Arial" w:cs="Arial"/>
                <w:sz w:val="24"/>
                <w:szCs w:val="24"/>
              </w:rPr>
              <w:t>This</w:t>
            </w:r>
            <w:r w:rsidR="3E507CF2" w:rsidRPr="1246AE45">
              <w:rPr>
                <w:rFonts w:ascii="Arial" w:hAnsi="Arial" w:cs="Arial"/>
                <w:sz w:val="24"/>
                <w:szCs w:val="24"/>
              </w:rPr>
              <w:t xml:space="preserve"> </w:t>
            </w:r>
            <w:r w:rsidR="1DBB2FEE" w:rsidRPr="1246AE45">
              <w:rPr>
                <w:rFonts w:ascii="Arial" w:hAnsi="Arial" w:cs="Arial"/>
                <w:sz w:val="24"/>
                <w:szCs w:val="24"/>
              </w:rPr>
              <w:t>update</w:t>
            </w:r>
            <w:r w:rsidRPr="44AF77C2">
              <w:rPr>
                <w:rFonts w:ascii="Arial" w:hAnsi="Arial" w:cs="Arial"/>
                <w:sz w:val="24"/>
                <w:szCs w:val="24"/>
              </w:rPr>
              <w:t xml:space="preserve"> enables us to understand how effectively we are allocating homes to effectively meet the needs of our customers and </w:t>
            </w:r>
            <w:r w:rsidR="359C0406" w:rsidRPr="1246AE45">
              <w:rPr>
                <w:rFonts w:ascii="Arial" w:hAnsi="Arial" w:cs="Arial"/>
                <w:sz w:val="24"/>
                <w:szCs w:val="24"/>
              </w:rPr>
              <w:t xml:space="preserve">also </w:t>
            </w:r>
            <w:r w:rsidR="11D53D1C" w:rsidRPr="1246AE45">
              <w:rPr>
                <w:rFonts w:ascii="Arial" w:hAnsi="Arial" w:cs="Arial"/>
                <w:sz w:val="24"/>
                <w:szCs w:val="24"/>
              </w:rPr>
              <w:t>inform</w:t>
            </w:r>
            <w:r w:rsidR="298FDAEB" w:rsidRPr="1246AE45">
              <w:rPr>
                <w:rFonts w:ascii="Arial" w:hAnsi="Arial" w:cs="Arial"/>
                <w:sz w:val="24"/>
                <w:szCs w:val="24"/>
              </w:rPr>
              <w:t>s</w:t>
            </w:r>
            <w:r w:rsidR="1E218E45" w:rsidRPr="44AF77C2">
              <w:rPr>
                <w:rFonts w:ascii="Arial" w:hAnsi="Arial" w:cs="Arial"/>
                <w:sz w:val="24"/>
                <w:szCs w:val="24"/>
              </w:rPr>
              <w:t xml:space="preserve"> future strategies</w:t>
            </w:r>
            <w:r w:rsidR="43E46478" w:rsidRPr="44AF77C2">
              <w:rPr>
                <w:rFonts w:ascii="Arial" w:hAnsi="Arial" w:cs="Arial"/>
                <w:sz w:val="24"/>
                <w:szCs w:val="24"/>
              </w:rPr>
              <w:t xml:space="preserve"> </w:t>
            </w:r>
            <w:r w:rsidR="1E218E45" w:rsidRPr="44AF77C2">
              <w:rPr>
                <w:rFonts w:ascii="Arial" w:hAnsi="Arial" w:cs="Arial"/>
                <w:sz w:val="24"/>
                <w:szCs w:val="24"/>
              </w:rPr>
              <w:t>to ensure the housing stock continue</w:t>
            </w:r>
            <w:r w:rsidR="0A82E4A9" w:rsidRPr="44AF77C2">
              <w:rPr>
                <w:rFonts w:ascii="Arial" w:hAnsi="Arial" w:cs="Arial"/>
                <w:sz w:val="24"/>
                <w:szCs w:val="24"/>
              </w:rPr>
              <w:t xml:space="preserve">s to </w:t>
            </w:r>
            <w:r w:rsidR="06D3E2A5" w:rsidRPr="44AF77C2">
              <w:rPr>
                <w:rFonts w:ascii="Arial" w:hAnsi="Arial" w:cs="Arial"/>
                <w:sz w:val="24"/>
                <w:szCs w:val="24"/>
              </w:rPr>
              <w:t xml:space="preserve">be suitable to </w:t>
            </w:r>
            <w:r w:rsidR="0A82E4A9" w:rsidRPr="44AF77C2">
              <w:rPr>
                <w:rFonts w:ascii="Arial" w:hAnsi="Arial" w:cs="Arial"/>
                <w:sz w:val="24"/>
                <w:szCs w:val="24"/>
              </w:rPr>
              <w:t>meet demand.</w:t>
            </w:r>
          </w:p>
          <w:p w14:paraId="104A26AA" w14:textId="5923222E" w:rsidR="00E72EEB" w:rsidRPr="007634E1" w:rsidRDefault="00E72EEB" w:rsidP="00E72EEB">
            <w:pPr>
              <w:jc w:val="both"/>
              <w:rPr>
                <w:rFonts w:ascii="Arial" w:hAnsi="Arial" w:cs="Arial"/>
                <w:sz w:val="24"/>
                <w:szCs w:val="24"/>
              </w:rPr>
            </w:pPr>
          </w:p>
        </w:tc>
      </w:tr>
      <w:tr w:rsidR="00B517B2" w:rsidRPr="00DA01F3" w14:paraId="09A1FD80" w14:textId="77777777" w:rsidTr="44AF77C2">
        <w:tc>
          <w:tcPr>
            <w:tcW w:w="2064" w:type="dxa"/>
          </w:tcPr>
          <w:p w14:paraId="39BE9652" w14:textId="013DF51B" w:rsidR="00B517B2" w:rsidRPr="00526A0F" w:rsidRDefault="00385C19" w:rsidP="00E72EEB">
            <w:pPr>
              <w:rPr>
                <w:rFonts w:ascii="Arial" w:hAnsi="Arial" w:cs="Arial"/>
                <w:szCs w:val="20"/>
              </w:rPr>
            </w:pPr>
            <w:r>
              <w:rPr>
                <w:rFonts w:ascii="Arial" w:hAnsi="Arial" w:cs="Arial"/>
                <w:szCs w:val="20"/>
              </w:rPr>
              <w:lastRenderedPageBreak/>
              <w:t xml:space="preserve">20. </w:t>
            </w:r>
            <w:r w:rsidR="00B517B2" w:rsidRPr="00526A0F">
              <w:rPr>
                <w:rFonts w:ascii="Arial" w:hAnsi="Arial" w:cs="Arial"/>
                <w:szCs w:val="20"/>
              </w:rPr>
              <w:t>Tenancy Management Report</w:t>
            </w:r>
          </w:p>
        </w:tc>
        <w:tc>
          <w:tcPr>
            <w:tcW w:w="4724" w:type="dxa"/>
          </w:tcPr>
          <w:p w14:paraId="426DB750" w14:textId="77777777" w:rsidR="00D9567C" w:rsidRDefault="00D9567C" w:rsidP="00E72EEB">
            <w:pPr>
              <w:jc w:val="both"/>
              <w:rPr>
                <w:rFonts w:ascii="Arial" w:hAnsi="Arial" w:cs="Arial"/>
                <w:sz w:val="24"/>
                <w:szCs w:val="24"/>
              </w:rPr>
            </w:pPr>
            <w:r>
              <w:rPr>
                <w:rFonts w:ascii="Arial" w:hAnsi="Arial" w:cs="Arial"/>
                <w:sz w:val="24"/>
                <w:szCs w:val="24"/>
              </w:rPr>
              <w:t>Board received the annual update on performance of the Tenancy and Es</w:t>
            </w:r>
            <w:r w:rsidR="00385C19">
              <w:rPr>
                <w:rFonts w:ascii="Arial" w:hAnsi="Arial" w:cs="Arial"/>
                <w:sz w:val="24"/>
                <w:szCs w:val="24"/>
              </w:rPr>
              <w:t>tate Management Service detailing key achievements and areas that require continued focus.</w:t>
            </w:r>
          </w:p>
          <w:p w14:paraId="5F998AA0" w14:textId="27388A18" w:rsidR="009A3DAF" w:rsidRPr="0050474B" w:rsidRDefault="009A3DAF" w:rsidP="00E72EEB">
            <w:pPr>
              <w:jc w:val="both"/>
              <w:rPr>
                <w:rFonts w:ascii="Arial" w:hAnsi="Arial" w:cs="Arial"/>
                <w:sz w:val="24"/>
                <w:szCs w:val="24"/>
              </w:rPr>
            </w:pPr>
          </w:p>
        </w:tc>
        <w:tc>
          <w:tcPr>
            <w:tcW w:w="3580" w:type="dxa"/>
          </w:tcPr>
          <w:p w14:paraId="2067F6DE" w14:textId="0C0AE867" w:rsidR="00B517B2" w:rsidRPr="003D56C7" w:rsidRDefault="002A4210" w:rsidP="00E72EEB">
            <w:pPr>
              <w:jc w:val="both"/>
              <w:rPr>
                <w:rFonts w:ascii="Arial" w:hAnsi="Arial" w:cs="Arial"/>
                <w:sz w:val="24"/>
                <w:szCs w:val="24"/>
              </w:rPr>
            </w:pPr>
            <w:r>
              <w:rPr>
                <w:rFonts w:ascii="Arial" w:hAnsi="Arial" w:cs="Arial"/>
                <w:sz w:val="24"/>
                <w:szCs w:val="24"/>
              </w:rPr>
              <w:t>Board noted the information provided.</w:t>
            </w:r>
          </w:p>
        </w:tc>
        <w:tc>
          <w:tcPr>
            <w:tcW w:w="3580" w:type="dxa"/>
            <w:shd w:val="clear" w:color="auto" w:fill="FFF2CC" w:themeFill="accent4" w:themeFillTint="33"/>
          </w:tcPr>
          <w:p w14:paraId="0F0C9408" w14:textId="2469D18E" w:rsidR="00B517B2" w:rsidRPr="007634E1" w:rsidRDefault="6A847846" w:rsidP="1246AE45">
            <w:pPr>
              <w:spacing w:after="160" w:line="257" w:lineRule="auto"/>
              <w:jc w:val="both"/>
            </w:pPr>
            <w:r w:rsidRPr="1246AE45">
              <w:rPr>
                <w:rFonts w:ascii="Arial" w:eastAsia="Arial" w:hAnsi="Arial" w:cs="Arial"/>
                <w:sz w:val="24"/>
                <w:szCs w:val="24"/>
              </w:rPr>
              <w:t>The report demonstrates how effective tenancy and estate management delivers positive outcomes for tenants by supporting safe, stable and well-managed communities. This includes timely action to address anti-social behaviour, proactive estate inspections to maintain clean and safe environments, and early intervention to help sustain tenancies and prevent escalation of issues.</w:t>
            </w:r>
          </w:p>
          <w:p w14:paraId="48281521" w14:textId="4383F3ED" w:rsidR="00B517B2" w:rsidRPr="007634E1" w:rsidRDefault="6A847846" w:rsidP="1246AE45">
            <w:pPr>
              <w:spacing w:after="160" w:line="257" w:lineRule="auto"/>
              <w:jc w:val="both"/>
            </w:pPr>
            <w:r w:rsidRPr="1246AE45">
              <w:rPr>
                <w:rFonts w:ascii="Arial" w:eastAsia="Arial" w:hAnsi="Arial" w:cs="Arial"/>
                <w:sz w:val="24"/>
                <w:szCs w:val="24"/>
              </w:rPr>
              <w:t xml:space="preserve">Key achievements include maintaining effective tenancy management to support tenants in sustaining their homes, strengthening responses to anti-social behaviour through timely interventions and partnership working, and continuing proactive estate management to improve neighbourhood standards. The service has also enhanced customer engagement, ensuring clear communication </w:t>
            </w:r>
            <w:r w:rsidRPr="1246AE45">
              <w:rPr>
                <w:rFonts w:ascii="Arial" w:eastAsia="Arial" w:hAnsi="Arial" w:cs="Arial"/>
                <w:sz w:val="24"/>
                <w:szCs w:val="24"/>
              </w:rPr>
              <w:lastRenderedPageBreak/>
              <w:t>and consistent contact with housing officers, alongside improving early support pathways to help tenants access services and maintain stability.</w:t>
            </w:r>
          </w:p>
          <w:p w14:paraId="33D7E20A" w14:textId="6F5D8E65" w:rsidR="00B517B2" w:rsidRPr="007634E1" w:rsidRDefault="6A847846" w:rsidP="1246AE45">
            <w:pPr>
              <w:spacing w:after="160" w:line="257" w:lineRule="auto"/>
              <w:jc w:val="both"/>
            </w:pPr>
            <w:r w:rsidRPr="1246AE45">
              <w:rPr>
                <w:rFonts w:ascii="Arial" w:eastAsia="Arial" w:hAnsi="Arial" w:cs="Arial"/>
                <w:sz w:val="24"/>
                <w:szCs w:val="24"/>
              </w:rPr>
              <w:t>As a result, tenants benefit from a more responsive and visible service, increased safety and wellbeing, and improved confidence in how housing services support their needs and communities.</w:t>
            </w:r>
          </w:p>
          <w:p w14:paraId="4F7654DA" w14:textId="3290CD58" w:rsidR="00B517B2" w:rsidRPr="007634E1" w:rsidRDefault="00B517B2" w:rsidP="00E72EEB">
            <w:pPr>
              <w:jc w:val="both"/>
              <w:rPr>
                <w:rFonts w:ascii="Arial" w:hAnsi="Arial" w:cs="Arial"/>
                <w:sz w:val="24"/>
                <w:szCs w:val="24"/>
              </w:rPr>
            </w:pPr>
          </w:p>
        </w:tc>
      </w:tr>
      <w:tr w:rsidR="00B517B2" w:rsidRPr="00DA01F3" w14:paraId="3724EC3A" w14:textId="77777777" w:rsidTr="44AF77C2">
        <w:tc>
          <w:tcPr>
            <w:tcW w:w="2064" w:type="dxa"/>
          </w:tcPr>
          <w:p w14:paraId="269AAED2" w14:textId="65F6FB4B" w:rsidR="00B517B2" w:rsidRPr="00526A0F" w:rsidRDefault="00763D2A" w:rsidP="00E72EEB">
            <w:pPr>
              <w:rPr>
                <w:rFonts w:ascii="Arial" w:hAnsi="Arial" w:cs="Arial"/>
                <w:szCs w:val="20"/>
              </w:rPr>
            </w:pPr>
            <w:r>
              <w:rPr>
                <w:rFonts w:ascii="Arial" w:hAnsi="Arial" w:cs="Arial"/>
                <w:szCs w:val="20"/>
              </w:rPr>
              <w:lastRenderedPageBreak/>
              <w:t xml:space="preserve">21. </w:t>
            </w:r>
            <w:r w:rsidR="002810DD" w:rsidRPr="00526A0F">
              <w:rPr>
                <w:rFonts w:ascii="Arial" w:hAnsi="Arial" w:cs="Arial"/>
                <w:szCs w:val="20"/>
              </w:rPr>
              <w:t>KIT Visit Evaluation</w:t>
            </w:r>
          </w:p>
        </w:tc>
        <w:tc>
          <w:tcPr>
            <w:tcW w:w="4724" w:type="dxa"/>
          </w:tcPr>
          <w:p w14:paraId="17318236" w14:textId="37F367DC" w:rsidR="00B517B2" w:rsidRPr="0050474B" w:rsidRDefault="009A3DAF" w:rsidP="00E72EEB">
            <w:pPr>
              <w:jc w:val="both"/>
              <w:rPr>
                <w:rFonts w:ascii="Arial" w:hAnsi="Arial" w:cs="Arial"/>
                <w:sz w:val="24"/>
                <w:szCs w:val="24"/>
              </w:rPr>
            </w:pPr>
            <w:r>
              <w:rPr>
                <w:rFonts w:ascii="Arial" w:hAnsi="Arial" w:cs="Arial"/>
                <w:sz w:val="24"/>
                <w:szCs w:val="24"/>
              </w:rPr>
              <w:t>Board re</w:t>
            </w:r>
            <w:r w:rsidR="00A0564E">
              <w:rPr>
                <w:rFonts w:ascii="Arial" w:hAnsi="Arial" w:cs="Arial"/>
                <w:sz w:val="24"/>
                <w:szCs w:val="24"/>
              </w:rPr>
              <w:t xml:space="preserve">ceived </w:t>
            </w:r>
            <w:r>
              <w:rPr>
                <w:rFonts w:ascii="Arial" w:hAnsi="Arial" w:cs="Arial"/>
                <w:sz w:val="24"/>
                <w:szCs w:val="24"/>
              </w:rPr>
              <w:t xml:space="preserve">an update on the delivery of the Keeping in Touch (KIT) visit programme and information on </w:t>
            </w:r>
            <w:r w:rsidR="00A0564E">
              <w:rPr>
                <w:rFonts w:ascii="Arial" w:hAnsi="Arial" w:cs="Arial"/>
                <w:sz w:val="24"/>
                <w:szCs w:val="24"/>
              </w:rPr>
              <w:t>successes, emerging issues and planned improvements.</w:t>
            </w:r>
          </w:p>
        </w:tc>
        <w:tc>
          <w:tcPr>
            <w:tcW w:w="3580" w:type="dxa"/>
          </w:tcPr>
          <w:p w14:paraId="615D15E0" w14:textId="7BD836CA" w:rsidR="00B517B2" w:rsidRPr="003D56C7" w:rsidRDefault="00C51DFA" w:rsidP="00E72EEB">
            <w:pPr>
              <w:jc w:val="both"/>
              <w:rPr>
                <w:rFonts w:ascii="Arial" w:hAnsi="Arial" w:cs="Arial"/>
                <w:sz w:val="24"/>
                <w:szCs w:val="24"/>
              </w:rPr>
            </w:pPr>
            <w:r>
              <w:rPr>
                <w:rFonts w:ascii="Arial" w:hAnsi="Arial" w:cs="Arial"/>
                <w:sz w:val="24"/>
                <w:szCs w:val="24"/>
              </w:rPr>
              <w:t>Board noted the information provided.</w:t>
            </w:r>
          </w:p>
        </w:tc>
        <w:tc>
          <w:tcPr>
            <w:tcW w:w="3580" w:type="dxa"/>
            <w:shd w:val="clear" w:color="auto" w:fill="FFF2CC" w:themeFill="accent4" w:themeFillTint="33"/>
          </w:tcPr>
          <w:p w14:paraId="2128A20E" w14:textId="6242B946" w:rsidR="00B517B2" w:rsidRPr="007634E1" w:rsidRDefault="06220CE3" w:rsidP="1246AE45">
            <w:pPr>
              <w:spacing w:after="160" w:line="257" w:lineRule="auto"/>
              <w:jc w:val="both"/>
            </w:pPr>
            <w:r w:rsidRPr="1246AE45">
              <w:rPr>
                <w:rFonts w:ascii="Arial" w:eastAsia="Arial" w:hAnsi="Arial" w:cs="Arial"/>
                <w:sz w:val="24"/>
                <w:szCs w:val="24"/>
              </w:rPr>
              <w:t>The KIT visit programme positively impacts tenants by ensuring regular, proactive contact, helping to identify issues early and provide timely support before concerns escalate. Through face-to-face engagement, tenants are better able to raise concerns, access support services, and receive tailored advice, improving tenancy sustainment, wellbeing, and overall satisfaction.</w:t>
            </w:r>
          </w:p>
          <w:p w14:paraId="21DE259D" w14:textId="24116DAE" w:rsidR="00B517B2" w:rsidRPr="007634E1" w:rsidRDefault="06220CE3" w:rsidP="1246AE45">
            <w:pPr>
              <w:spacing w:after="160" w:line="257" w:lineRule="auto"/>
              <w:jc w:val="both"/>
            </w:pPr>
            <w:r w:rsidRPr="1246AE45">
              <w:rPr>
                <w:rFonts w:ascii="Arial" w:eastAsia="Arial" w:hAnsi="Arial" w:cs="Arial"/>
                <w:sz w:val="24"/>
                <w:szCs w:val="24"/>
              </w:rPr>
              <w:lastRenderedPageBreak/>
              <w:t>For example, KIT visits have enabled early identification of vulnerabilities such as financial hardship, allowing timely referrals to income or debt support services; flagged safeguarding or wellbeing concerns, leading to appropriate interventions; and highlighted property or estate issues, which can then be quickly resolved. Visits also provide an opportunity to address low-level anti-social behaviour at an early stage and ensure tenants are aware of available services and reporting routes.</w:t>
            </w:r>
          </w:p>
          <w:p w14:paraId="15FD6A5D" w14:textId="23ADDED8" w:rsidR="00B517B2" w:rsidRPr="007634E1" w:rsidRDefault="06220CE3" w:rsidP="1246AE45">
            <w:pPr>
              <w:spacing w:after="160" w:line="257" w:lineRule="auto"/>
              <w:jc w:val="both"/>
            </w:pPr>
            <w:r w:rsidRPr="1246AE45">
              <w:rPr>
                <w:rFonts w:ascii="Arial" w:eastAsia="Arial" w:hAnsi="Arial" w:cs="Arial"/>
                <w:sz w:val="24"/>
                <w:szCs w:val="24"/>
              </w:rPr>
              <w:t>The insights gathered from visits inform service improvements, enabling a more responsive, targeted approach and strengthening trust and confidence in housing services.</w:t>
            </w:r>
          </w:p>
          <w:p w14:paraId="744177F2" w14:textId="6E84E744" w:rsidR="00B517B2" w:rsidRPr="007634E1" w:rsidRDefault="00B517B2" w:rsidP="1246AE45">
            <w:pPr>
              <w:spacing w:after="160" w:line="257" w:lineRule="auto"/>
              <w:jc w:val="both"/>
              <w:rPr>
                <w:rFonts w:ascii="Arial" w:eastAsia="Arial" w:hAnsi="Arial" w:cs="Arial"/>
                <w:sz w:val="24"/>
                <w:szCs w:val="24"/>
              </w:rPr>
            </w:pPr>
          </w:p>
          <w:p w14:paraId="4B1D1E6C" w14:textId="7D3F48A0" w:rsidR="00B517B2" w:rsidRPr="007634E1" w:rsidRDefault="00B517B2" w:rsidP="00E72EEB">
            <w:pPr>
              <w:jc w:val="both"/>
              <w:rPr>
                <w:rFonts w:ascii="Arial" w:hAnsi="Arial" w:cs="Arial"/>
                <w:sz w:val="24"/>
                <w:szCs w:val="24"/>
              </w:rPr>
            </w:pPr>
          </w:p>
        </w:tc>
      </w:tr>
    </w:tbl>
    <w:p w14:paraId="69ABA3EB" w14:textId="77777777" w:rsidR="003E040F" w:rsidRPr="00E510D6" w:rsidRDefault="003E040F">
      <w:pPr>
        <w:rPr>
          <w:rFonts w:ascii="Arial" w:hAnsi="Arial" w:cs="Arial"/>
          <w:sz w:val="24"/>
          <w:szCs w:val="24"/>
        </w:rPr>
      </w:pPr>
    </w:p>
    <w:sectPr w:rsidR="003E040F" w:rsidRPr="00E510D6" w:rsidSect="00DD7E8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A7A"/>
    <w:multiLevelType w:val="multilevel"/>
    <w:tmpl w:val="2B7C7F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850D6"/>
    <w:multiLevelType w:val="hybridMultilevel"/>
    <w:tmpl w:val="453C5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E33B5B"/>
    <w:multiLevelType w:val="hybridMultilevel"/>
    <w:tmpl w:val="8B801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C31F94"/>
    <w:multiLevelType w:val="hybridMultilevel"/>
    <w:tmpl w:val="4AC6DB7C"/>
    <w:lvl w:ilvl="0" w:tplc="B7BAEC52">
      <w:start w:val="1"/>
      <w:numFmt w:val="bullet"/>
      <w:lvlText w:val="•"/>
      <w:lvlJc w:val="left"/>
      <w:pPr>
        <w:tabs>
          <w:tab w:val="num" w:pos="720"/>
        </w:tabs>
        <w:ind w:left="720" w:hanging="360"/>
      </w:pPr>
      <w:rPr>
        <w:rFonts w:ascii="Arial" w:hAnsi="Arial" w:hint="default"/>
      </w:rPr>
    </w:lvl>
    <w:lvl w:ilvl="1" w:tplc="C83C532A" w:tentative="1">
      <w:start w:val="1"/>
      <w:numFmt w:val="bullet"/>
      <w:lvlText w:val="•"/>
      <w:lvlJc w:val="left"/>
      <w:pPr>
        <w:tabs>
          <w:tab w:val="num" w:pos="1440"/>
        </w:tabs>
        <w:ind w:left="1440" w:hanging="360"/>
      </w:pPr>
      <w:rPr>
        <w:rFonts w:ascii="Arial" w:hAnsi="Arial" w:hint="default"/>
      </w:rPr>
    </w:lvl>
    <w:lvl w:ilvl="2" w:tplc="D0A2661E" w:tentative="1">
      <w:start w:val="1"/>
      <w:numFmt w:val="bullet"/>
      <w:lvlText w:val="•"/>
      <w:lvlJc w:val="left"/>
      <w:pPr>
        <w:tabs>
          <w:tab w:val="num" w:pos="2160"/>
        </w:tabs>
        <w:ind w:left="2160" w:hanging="360"/>
      </w:pPr>
      <w:rPr>
        <w:rFonts w:ascii="Arial" w:hAnsi="Arial" w:hint="default"/>
      </w:rPr>
    </w:lvl>
    <w:lvl w:ilvl="3" w:tplc="2110E2BA" w:tentative="1">
      <w:start w:val="1"/>
      <w:numFmt w:val="bullet"/>
      <w:lvlText w:val="•"/>
      <w:lvlJc w:val="left"/>
      <w:pPr>
        <w:tabs>
          <w:tab w:val="num" w:pos="2880"/>
        </w:tabs>
        <w:ind w:left="2880" w:hanging="360"/>
      </w:pPr>
      <w:rPr>
        <w:rFonts w:ascii="Arial" w:hAnsi="Arial" w:hint="default"/>
      </w:rPr>
    </w:lvl>
    <w:lvl w:ilvl="4" w:tplc="BD1C6F6E" w:tentative="1">
      <w:start w:val="1"/>
      <w:numFmt w:val="bullet"/>
      <w:lvlText w:val="•"/>
      <w:lvlJc w:val="left"/>
      <w:pPr>
        <w:tabs>
          <w:tab w:val="num" w:pos="3600"/>
        </w:tabs>
        <w:ind w:left="3600" w:hanging="360"/>
      </w:pPr>
      <w:rPr>
        <w:rFonts w:ascii="Arial" w:hAnsi="Arial" w:hint="default"/>
      </w:rPr>
    </w:lvl>
    <w:lvl w:ilvl="5" w:tplc="3AD80332" w:tentative="1">
      <w:start w:val="1"/>
      <w:numFmt w:val="bullet"/>
      <w:lvlText w:val="•"/>
      <w:lvlJc w:val="left"/>
      <w:pPr>
        <w:tabs>
          <w:tab w:val="num" w:pos="4320"/>
        </w:tabs>
        <w:ind w:left="4320" w:hanging="360"/>
      </w:pPr>
      <w:rPr>
        <w:rFonts w:ascii="Arial" w:hAnsi="Arial" w:hint="default"/>
      </w:rPr>
    </w:lvl>
    <w:lvl w:ilvl="6" w:tplc="107E2D4E" w:tentative="1">
      <w:start w:val="1"/>
      <w:numFmt w:val="bullet"/>
      <w:lvlText w:val="•"/>
      <w:lvlJc w:val="left"/>
      <w:pPr>
        <w:tabs>
          <w:tab w:val="num" w:pos="5040"/>
        </w:tabs>
        <w:ind w:left="5040" w:hanging="360"/>
      </w:pPr>
      <w:rPr>
        <w:rFonts w:ascii="Arial" w:hAnsi="Arial" w:hint="default"/>
      </w:rPr>
    </w:lvl>
    <w:lvl w:ilvl="7" w:tplc="830E437E" w:tentative="1">
      <w:start w:val="1"/>
      <w:numFmt w:val="bullet"/>
      <w:lvlText w:val="•"/>
      <w:lvlJc w:val="left"/>
      <w:pPr>
        <w:tabs>
          <w:tab w:val="num" w:pos="5760"/>
        </w:tabs>
        <w:ind w:left="5760" w:hanging="360"/>
      </w:pPr>
      <w:rPr>
        <w:rFonts w:ascii="Arial" w:hAnsi="Arial" w:hint="default"/>
      </w:rPr>
    </w:lvl>
    <w:lvl w:ilvl="8" w:tplc="B8AAE4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144220"/>
    <w:multiLevelType w:val="hybridMultilevel"/>
    <w:tmpl w:val="3FF4E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B05729"/>
    <w:multiLevelType w:val="hybridMultilevel"/>
    <w:tmpl w:val="E57C8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C920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314223"/>
    <w:multiLevelType w:val="multilevel"/>
    <w:tmpl w:val="0268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155DC5"/>
    <w:multiLevelType w:val="hybridMultilevel"/>
    <w:tmpl w:val="9A8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041975">
    <w:abstractNumId w:val="5"/>
  </w:num>
  <w:num w:numId="2" w16cid:durableId="1230965500">
    <w:abstractNumId w:val="6"/>
  </w:num>
  <w:num w:numId="3" w16cid:durableId="1489056070">
    <w:abstractNumId w:val="8"/>
  </w:num>
  <w:num w:numId="4" w16cid:durableId="162865955">
    <w:abstractNumId w:val="1"/>
  </w:num>
  <w:num w:numId="5" w16cid:durableId="171529819">
    <w:abstractNumId w:val="0"/>
  </w:num>
  <w:num w:numId="6" w16cid:durableId="2076463793">
    <w:abstractNumId w:val="2"/>
  </w:num>
  <w:num w:numId="7" w16cid:durableId="550265799">
    <w:abstractNumId w:val="7"/>
  </w:num>
  <w:num w:numId="8" w16cid:durableId="586420697">
    <w:abstractNumId w:val="3"/>
  </w:num>
  <w:num w:numId="9" w16cid:durableId="752047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DD"/>
    <w:rsid w:val="0003644B"/>
    <w:rsid w:val="00036F94"/>
    <w:rsid w:val="000423CB"/>
    <w:rsid w:val="00086EC1"/>
    <w:rsid w:val="000A70C9"/>
    <w:rsid w:val="000E1037"/>
    <w:rsid w:val="000E6765"/>
    <w:rsid w:val="000F39A2"/>
    <w:rsid w:val="00100707"/>
    <w:rsid w:val="001309A7"/>
    <w:rsid w:val="00142658"/>
    <w:rsid w:val="001516E0"/>
    <w:rsid w:val="0016445C"/>
    <w:rsid w:val="0019114F"/>
    <w:rsid w:val="001A49D8"/>
    <w:rsid w:val="001C1EC0"/>
    <w:rsid w:val="001C7871"/>
    <w:rsid w:val="00245B1E"/>
    <w:rsid w:val="00252EC7"/>
    <w:rsid w:val="00256BDA"/>
    <w:rsid w:val="00270227"/>
    <w:rsid w:val="002810DD"/>
    <w:rsid w:val="00283206"/>
    <w:rsid w:val="00286CFE"/>
    <w:rsid w:val="002A006A"/>
    <w:rsid w:val="002A4210"/>
    <w:rsid w:val="002A5EF5"/>
    <w:rsid w:val="002B6534"/>
    <w:rsid w:val="002C323B"/>
    <w:rsid w:val="002E6F11"/>
    <w:rsid w:val="002E74DF"/>
    <w:rsid w:val="003229CE"/>
    <w:rsid w:val="00341A65"/>
    <w:rsid w:val="00364F45"/>
    <w:rsid w:val="00370A63"/>
    <w:rsid w:val="00385C19"/>
    <w:rsid w:val="00393A21"/>
    <w:rsid w:val="003A2C56"/>
    <w:rsid w:val="003D0D02"/>
    <w:rsid w:val="003D1F21"/>
    <w:rsid w:val="003D3895"/>
    <w:rsid w:val="003D56C7"/>
    <w:rsid w:val="003D772F"/>
    <w:rsid w:val="003E040F"/>
    <w:rsid w:val="003E468D"/>
    <w:rsid w:val="003E5312"/>
    <w:rsid w:val="0043552B"/>
    <w:rsid w:val="00447C9C"/>
    <w:rsid w:val="0045166B"/>
    <w:rsid w:val="00482D6A"/>
    <w:rsid w:val="00485346"/>
    <w:rsid w:val="00485863"/>
    <w:rsid w:val="00486880"/>
    <w:rsid w:val="00495876"/>
    <w:rsid w:val="004A04EE"/>
    <w:rsid w:val="004A2D11"/>
    <w:rsid w:val="004B4AC9"/>
    <w:rsid w:val="004C5B38"/>
    <w:rsid w:val="004D54D8"/>
    <w:rsid w:val="004E2B2C"/>
    <w:rsid w:val="004F19D1"/>
    <w:rsid w:val="0050474B"/>
    <w:rsid w:val="00522693"/>
    <w:rsid w:val="00543012"/>
    <w:rsid w:val="00547371"/>
    <w:rsid w:val="00553104"/>
    <w:rsid w:val="00580071"/>
    <w:rsid w:val="005817DD"/>
    <w:rsid w:val="00590757"/>
    <w:rsid w:val="005B2BED"/>
    <w:rsid w:val="005B56ED"/>
    <w:rsid w:val="005C1876"/>
    <w:rsid w:val="005D69EF"/>
    <w:rsid w:val="005F4417"/>
    <w:rsid w:val="00615E64"/>
    <w:rsid w:val="00621DF6"/>
    <w:rsid w:val="00624A59"/>
    <w:rsid w:val="00663556"/>
    <w:rsid w:val="00672557"/>
    <w:rsid w:val="006775E5"/>
    <w:rsid w:val="006941EF"/>
    <w:rsid w:val="006A11C6"/>
    <w:rsid w:val="006A79BC"/>
    <w:rsid w:val="006C13AF"/>
    <w:rsid w:val="006C7BBE"/>
    <w:rsid w:val="006D0609"/>
    <w:rsid w:val="006D6509"/>
    <w:rsid w:val="006F4904"/>
    <w:rsid w:val="00704444"/>
    <w:rsid w:val="00716440"/>
    <w:rsid w:val="00720C1C"/>
    <w:rsid w:val="00742EBC"/>
    <w:rsid w:val="00746A08"/>
    <w:rsid w:val="00755EDD"/>
    <w:rsid w:val="00763445"/>
    <w:rsid w:val="007634E1"/>
    <w:rsid w:val="00763C9A"/>
    <w:rsid w:val="00763D2A"/>
    <w:rsid w:val="0078168E"/>
    <w:rsid w:val="00794955"/>
    <w:rsid w:val="00811C9C"/>
    <w:rsid w:val="00827F64"/>
    <w:rsid w:val="008516CC"/>
    <w:rsid w:val="00881007"/>
    <w:rsid w:val="0088108D"/>
    <w:rsid w:val="008857BE"/>
    <w:rsid w:val="008A6103"/>
    <w:rsid w:val="008B02A8"/>
    <w:rsid w:val="008F57BB"/>
    <w:rsid w:val="00910F81"/>
    <w:rsid w:val="0094765E"/>
    <w:rsid w:val="009A3DAF"/>
    <w:rsid w:val="009C4CFF"/>
    <w:rsid w:val="00A0564E"/>
    <w:rsid w:val="00A209D4"/>
    <w:rsid w:val="00A24ED3"/>
    <w:rsid w:val="00A32A88"/>
    <w:rsid w:val="00A422EE"/>
    <w:rsid w:val="00A46307"/>
    <w:rsid w:val="00A528AE"/>
    <w:rsid w:val="00A90B38"/>
    <w:rsid w:val="00AA53A0"/>
    <w:rsid w:val="00AC1478"/>
    <w:rsid w:val="00AC4E92"/>
    <w:rsid w:val="00AD3954"/>
    <w:rsid w:val="00AE0E0D"/>
    <w:rsid w:val="00AF6279"/>
    <w:rsid w:val="00AF6E16"/>
    <w:rsid w:val="00AF7B69"/>
    <w:rsid w:val="00B070F5"/>
    <w:rsid w:val="00B25A7A"/>
    <w:rsid w:val="00B26561"/>
    <w:rsid w:val="00B26BA6"/>
    <w:rsid w:val="00B26E53"/>
    <w:rsid w:val="00B51189"/>
    <w:rsid w:val="00B517B2"/>
    <w:rsid w:val="00B5749E"/>
    <w:rsid w:val="00B6112F"/>
    <w:rsid w:val="00B75F93"/>
    <w:rsid w:val="00BA2156"/>
    <w:rsid w:val="00C16710"/>
    <w:rsid w:val="00C27151"/>
    <w:rsid w:val="00C3078B"/>
    <w:rsid w:val="00C45CF0"/>
    <w:rsid w:val="00C51DFA"/>
    <w:rsid w:val="00C53B06"/>
    <w:rsid w:val="00C602D4"/>
    <w:rsid w:val="00C677D8"/>
    <w:rsid w:val="00C75338"/>
    <w:rsid w:val="00C7623F"/>
    <w:rsid w:val="00C865F6"/>
    <w:rsid w:val="00CA6A4F"/>
    <w:rsid w:val="00CB6CF8"/>
    <w:rsid w:val="00CD21BF"/>
    <w:rsid w:val="00CD33A9"/>
    <w:rsid w:val="00CD4DE8"/>
    <w:rsid w:val="00CE73B6"/>
    <w:rsid w:val="00CF1DDD"/>
    <w:rsid w:val="00D11DAA"/>
    <w:rsid w:val="00D25CA0"/>
    <w:rsid w:val="00D52756"/>
    <w:rsid w:val="00D541A6"/>
    <w:rsid w:val="00D759C9"/>
    <w:rsid w:val="00D763F3"/>
    <w:rsid w:val="00D83E95"/>
    <w:rsid w:val="00D92926"/>
    <w:rsid w:val="00D9567C"/>
    <w:rsid w:val="00DA01F3"/>
    <w:rsid w:val="00DC578C"/>
    <w:rsid w:val="00DD167D"/>
    <w:rsid w:val="00DD7E87"/>
    <w:rsid w:val="00E1126F"/>
    <w:rsid w:val="00E37B97"/>
    <w:rsid w:val="00E510D6"/>
    <w:rsid w:val="00E72EEB"/>
    <w:rsid w:val="00E9184C"/>
    <w:rsid w:val="00E927D7"/>
    <w:rsid w:val="00E93601"/>
    <w:rsid w:val="00EA1624"/>
    <w:rsid w:val="00EC3710"/>
    <w:rsid w:val="00ED0CEF"/>
    <w:rsid w:val="00F02012"/>
    <w:rsid w:val="00F026E2"/>
    <w:rsid w:val="00F161F3"/>
    <w:rsid w:val="00F72C94"/>
    <w:rsid w:val="00F7692E"/>
    <w:rsid w:val="00F77F37"/>
    <w:rsid w:val="00F969FA"/>
    <w:rsid w:val="00FA2928"/>
    <w:rsid w:val="00FA69BE"/>
    <w:rsid w:val="00FE754F"/>
    <w:rsid w:val="01131A6F"/>
    <w:rsid w:val="01195B83"/>
    <w:rsid w:val="0127FC7A"/>
    <w:rsid w:val="024BCC89"/>
    <w:rsid w:val="02598795"/>
    <w:rsid w:val="026BDFE3"/>
    <w:rsid w:val="037B5671"/>
    <w:rsid w:val="03EC8B55"/>
    <w:rsid w:val="0423F319"/>
    <w:rsid w:val="044A12D6"/>
    <w:rsid w:val="054F4198"/>
    <w:rsid w:val="05D503F3"/>
    <w:rsid w:val="06220CE3"/>
    <w:rsid w:val="06B2A2CB"/>
    <w:rsid w:val="06D3E2A5"/>
    <w:rsid w:val="0844DC66"/>
    <w:rsid w:val="08A7C4CF"/>
    <w:rsid w:val="08D52146"/>
    <w:rsid w:val="0987DD5B"/>
    <w:rsid w:val="09D71CC6"/>
    <w:rsid w:val="0A82E4A9"/>
    <w:rsid w:val="0C45FC06"/>
    <w:rsid w:val="0C9CE847"/>
    <w:rsid w:val="0CF95AFA"/>
    <w:rsid w:val="0D47D47F"/>
    <w:rsid w:val="0D5774E3"/>
    <w:rsid w:val="0EFBB6C8"/>
    <w:rsid w:val="10EA9FA7"/>
    <w:rsid w:val="10EE4CAC"/>
    <w:rsid w:val="10FEAF55"/>
    <w:rsid w:val="11D53D1C"/>
    <w:rsid w:val="1246AE45"/>
    <w:rsid w:val="1278284A"/>
    <w:rsid w:val="12D494B7"/>
    <w:rsid w:val="12E11AD7"/>
    <w:rsid w:val="12FB06B7"/>
    <w:rsid w:val="1481D6B1"/>
    <w:rsid w:val="1659697F"/>
    <w:rsid w:val="167119E8"/>
    <w:rsid w:val="16F19210"/>
    <w:rsid w:val="17CBDA7B"/>
    <w:rsid w:val="185EA5D7"/>
    <w:rsid w:val="1952367B"/>
    <w:rsid w:val="1A57475A"/>
    <w:rsid w:val="1B1A09A1"/>
    <w:rsid w:val="1BC29610"/>
    <w:rsid w:val="1C347E80"/>
    <w:rsid w:val="1CE25823"/>
    <w:rsid w:val="1D8E5E61"/>
    <w:rsid w:val="1DBB2FEE"/>
    <w:rsid w:val="1E218E45"/>
    <w:rsid w:val="1F3E1646"/>
    <w:rsid w:val="216B56D2"/>
    <w:rsid w:val="231AE121"/>
    <w:rsid w:val="2381F6C0"/>
    <w:rsid w:val="23D7D7A8"/>
    <w:rsid w:val="24A3B1B5"/>
    <w:rsid w:val="24A452C5"/>
    <w:rsid w:val="24DB10B8"/>
    <w:rsid w:val="255BEA49"/>
    <w:rsid w:val="25E37383"/>
    <w:rsid w:val="2610667B"/>
    <w:rsid w:val="262FFF7F"/>
    <w:rsid w:val="26489882"/>
    <w:rsid w:val="26861AC5"/>
    <w:rsid w:val="27C181F1"/>
    <w:rsid w:val="282762FE"/>
    <w:rsid w:val="2835B29C"/>
    <w:rsid w:val="285E3518"/>
    <w:rsid w:val="28D07A4C"/>
    <w:rsid w:val="297E6456"/>
    <w:rsid w:val="298FDAEB"/>
    <w:rsid w:val="2C30CB7E"/>
    <w:rsid w:val="2C6E7CEF"/>
    <w:rsid w:val="2C70D0D5"/>
    <w:rsid w:val="2CFF16AB"/>
    <w:rsid w:val="2DB4EAE7"/>
    <w:rsid w:val="2EC662A5"/>
    <w:rsid w:val="3325C8F2"/>
    <w:rsid w:val="343E23B3"/>
    <w:rsid w:val="354BE263"/>
    <w:rsid w:val="355D964C"/>
    <w:rsid w:val="359C0406"/>
    <w:rsid w:val="36EAA2C9"/>
    <w:rsid w:val="371BBCD4"/>
    <w:rsid w:val="375B8A21"/>
    <w:rsid w:val="3917C7E9"/>
    <w:rsid w:val="3A6C9745"/>
    <w:rsid w:val="3AF66289"/>
    <w:rsid w:val="3BCC1DF9"/>
    <w:rsid w:val="3C634544"/>
    <w:rsid w:val="3E507CF2"/>
    <w:rsid w:val="3E78617F"/>
    <w:rsid w:val="404DC6E3"/>
    <w:rsid w:val="40AFC659"/>
    <w:rsid w:val="437C03B9"/>
    <w:rsid w:val="43E46478"/>
    <w:rsid w:val="441FFA91"/>
    <w:rsid w:val="447B479B"/>
    <w:rsid w:val="449630C5"/>
    <w:rsid w:val="44AF77C2"/>
    <w:rsid w:val="45806EAE"/>
    <w:rsid w:val="45B6E3E6"/>
    <w:rsid w:val="473B8EA8"/>
    <w:rsid w:val="478DB776"/>
    <w:rsid w:val="48144C8A"/>
    <w:rsid w:val="4853752F"/>
    <w:rsid w:val="48752AD6"/>
    <w:rsid w:val="497E2123"/>
    <w:rsid w:val="49B4A3D4"/>
    <w:rsid w:val="49D5DDBE"/>
    <w:rsid w:val="4A714337"/>
    <w:rsid w:val="4A90E99C"/>
    <w:rsid w:val="4C5C4406"/>
    <w:rsid w:val="4C6B5588"/>
    <w:rsid w:val="4C994EF9"/>
    <w:rsid w:val="4DEE261C"/>
    <w:rsid w:val="507FF37E"/>
    <w:rsid w:val="50FD6B10"/>
    <w:rsid w:val="51E74808"/>
    <w:rsid w:val="520ABBA9"/>
    <w:rsid w:val="52738231"/>
    <w:rsid w:val="52BA3639"/>
    <w:rsid w:val="55006C3C"/>
    <w:rsid w:val="5549ED7F"/>
    <w:rsid w:val="55986A7A"/>
    <w:rsid w:val="56A78DAA"/>
    <w:rsid w:val="573958EF"/>
    <w:rsid w:val="59C3316B"/>
    <w:rsid w:val="5DB70AAC"/>
    <w:rsid w:val="5E6A20A7"/>
    <w:rsid w:val="5FA2A5B7"/>
    <w:rsid w:val="60C56A26"/>
    <w:rsid w:val="60DB72E3"/>
    <w:rsid w:val="6207F804"/>
    <w:rsid w:val="6392F5D0"/>
    <w:rsid w:val="63C01517"/>
    <w:rsid w:val="66660EF9"/>
    <w:rsid w:val="6693BA14"/>
    <w:rsid w:val="672D981A"/>
    <w:rsid w:val="67C9438C"/>
    <w:rsid w:val="68BEBDD4"/>
    <w:rsid w:val="697B1CC3"/>
    <w:rsid w:val="6A847846"/>
    <w:rsid w:val="6AB19D8F"/>
    <w:rsid w:val="6AE65020"/>
    <w:rsid w:val="6B4542BF"/>
    <w:rsid w:val="6BC98D28"/>
    <w:rsid w:val="6C89AC46"/>
    <w:rsid w:val="6F6B7D36"/>
    <w:rsid w:val="6F99D5B2"/>
    <w:rsid w:val="6FEAE9E2"/>
    <w:rsid w:val="70A3A573"/>
    <w:rsid w:val="70AB02A6"/>
    <w:rsid w:val="71DA1159"/>
    <w:rsid w:val="71DC4EC0"/>
    <w:rsid w:val="73539124"/>
    <w:rsid w:val="7478772B"/>
    <w:rsid w:val="75D59311"/>
    <w:rsid w:val="761C4279"/>
    <w:rsid w:val="783A3A95"/>
    <w:rsid w:val="790E9C6C"/>
    <w:rsid w:val="7A0CA6BC"/>
    <w:rsid w:val="7C7DE83F"/>
    <w:rsid w:val="7C92C16E"/>
    <w:rsid w:val="7D452772"/>
    <w:rsid w:val="7DB5D9EE"/>
    <w:rsid w:val="7E12B813"/>
    <w:rsid w:val="7E59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BE24"/>
  <w15:chartTrackingRefBased/>
  <w15:docId w15:val="{375DF1DD-512D-47C0-9F89-23DAA5CE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1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7DD"/>
    <w:pPr>
      <w:ind w:left="720"/>
      <w:contextualSpacing/>
    </w:pPr>
  </w:style>
  <w:style w:type="paragraph" w:styleId="Revision">
    <w:name w:val="Revision"/>
    <w:hidden/>
    <w:uiPriority w:val="99"/>
    <w:semiHidden/>
    <w:rsid w:val="002C323B"/>
    <w:pPr>
      <w:spacing w:after="0" w:line="240" w:lineRule="auto"/>
    </w:pPr>
  </w:style>
  <w:style w:type="paragraph" w:styleId="Footer">
    <w:name w:val="footer"/>
    <w:basedOn w:val="Normal"/>
    <w:link w:val="FooterChar"/>
    <w:rsid w:val="00286CFE"/>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character" w:customStyle="1" w:styleId="FooterChar">
    <w:name w:val="Footer Char"/>
    <w:basedOn w:val="DefaultParagraphFont"/>
    <w:link w:val="Footer"/>
    <w:rsid w:val="00286CFE"/>
    <w:rPr>
      <w:rFonts w:ascii="Arial" w:eastAsia="Times New Roman" w:hAnsi="Arial" w:cs="Times New Roman"/>
      <w:sz w:val="24"/>
      <w:szCs w:val="20"/>
      <w:lang w:eastAsia="en-GB"/>
    </w:rPr>
  </w:style>
  <w:style w:type="character" w:customStyle="1" w:styleId="normaltextrun">
    <w:name w:val="normaltextrun"/>
    <w:basedOn w:val="DefaultParagraphFont"/>
    <w:rsid w:val="004A04EE"/>
  </w:style>
  <w:style w:type="character" w:styleId="Hyperlink">
    <w:name w:val="Hyperlink"/>
    <w:basedOn w:val="DefaultParagraphFont"/>
    <w:uiPriority w:val="99"/>
    <w:unhideWhenUsed/>
    <w:rsid w:val="004858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AA4AC84190D841A83FE45FCA2E7C6E" ma:contentTypeVersion="16" ma:contentTypeDescription="Create a new document." ma:contentTypeScope="" ma:versionID="ed31f614e73da603dff6923e445957af">
  <xsd:schema xmlns:xsd="http://www.w3.org/2001/XMLSchema" xmlns:xs="http://www.w3.org/2001/XMLSchema" xmlns:p="http://schemas.microsoft.com/office/2006/metadata/properties" xmlns:ns2="62adc0aa-b0bc-4779-bfa1-be8e72ae61a9" xmlns:ns3="fadf0344-35c1-4ccc-a7ad-bd6db4989f17" targetNamespace="http://schemas.microsoft.com/office/2006/metadata/properties" ma:root="true" ma:fieldsID="faa28cd8654175bd57ed681ed11ecd7b" ns2:_="" ns3:_="">
    <xsd:import namespace="62adc0aa-b0bc-4779-bfa1-be8e72ae61a9"/>
    <xsd:import namespace="fadf0344-35c1-4ccc-a7ad-bd6db4989f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dc0aa-b0bc-4779-bfa1-be8e72ae6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c40f8d-8524-4845-a2fc-30090feebe3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df0344-35c1-4ccc-a7ad-bd6db4989f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d1236d-670a-4c4f-ad80-1b8c242f619e}" ma:internalName="TaxCatchAll" ma:showField="CatchAllData" ma:web="fadf0344-35c1-4ccc-a7ad-bd6db4989f1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df0344-35c1-4ccc-a7ad-bd6db4989f17" xsi:nil="true"/>
    <lcf76f155ced4ddcb4097134ff3c332f xmlns="62adc0aa-b0bc-4779-bfa1-be8e72ae61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0F4DF-3F21-4DA6-B8D2-5AF09B5D1657}"/>
</file>

<file path=customXml/itemProps2.xml><?xml version="1.0" encoding="utf-8"?>
<ds:datastoreItem xmlns:ds="http://schemas.openxmlformats.org/officeDocument/2006/customXml" ds:itemID="{07FED268-19F1-4FA2-B825-13A6DD035A5C}">
  <ds:schemaRefs>
    <ds:schemaRef ds:uri="http://schemas.microsoft.com/office/2006/metadata/properties"/>
    <ds:schemaRef ds:uri="http://schemas.microsoft.com/office/infopath/2007/PartnerControls"/>
    <ds:schemaRef ds:uri="ce70e0c3-06e7-40f3-b2c0-6f9be06cbebd"/>
    <ds:schemaRef ds:uri="5859a96f-eb51-4749-9bcd-4c33c735e999"/>
  </ds:schemaRefs>
</ds:datastoreItem>
</file>

<file path=customXml/itemProps3.xml><?xml version="1.0" encoding="utf-8"?>
<ds:datastoreItem xmlns:ds="http://schemas.openxmlformats.org/officeDocument/2006/customXml" ds:itemID="{6D6BC6F0-8034-48CC-8A2E-B7D3C7AE6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1328</Words>
  <Characters>7575</Characters>
  <Application>Microsoft Office Word</Application>
  <DocSecurity>0</DocSecurity>
  <Lines>63</Lines>
  <Paragraphs>17</Paragraphs>
  <ScaleCrop>false</ScaleCrop>
  <Company>DMBC</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Maxine</dc:creator>
  <cp:keywords/>
  <dc:description/>
  <cp:lastModifiedBy>Graham-Hibling, Leandra</cp:lastModifiedBy>
  <cp:revision>2</cp:revision>
  <dcterms:created xsi:type="dcterms:W3CDTF">2026-06-29T13:41:00Z</dcterms:created>
  <dcterms:modified xsi:type="dcterms:W3CDTF">2026-06-29T13:41:00Z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0x01010044AA4AC84190D841A83FE45FCA2E7C6E</vt:lpwstr>
  </property>
  <property fmtid="{D5CDD505-2E9C-101B-9397-08002B2CF9AE}" pid="3" name="Order">
    <vt:r8>32000</vt:r8>
  </property>
  <property fmtid="{D5CDD505-2E9C-101B-9397-08002B2CF9AE}" pid="4" name="MediaServiceImageTags">
    <vt:lpwstr/>
  </property>
  <property fmtid="{D5CDD505-2E9C-101B-9397-08002B2CF9AE}" pid="5" name="docLang">
    <vt:lpwstr>en</vt:lpwstr>
  </property>
</Properties>
</file>