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81D9" w14:textId="6211EB0E" w:rsidR="00657CD0" w:rsidRDefault="00453BC5" w:rsidP="009E6CD2">
      <w:pPr>
        <w:rPr>
          <w:rFonts w:ascii="Arial Black" w:hAnsi="Arial Black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DDEB59" wp14:editId="3385F3AA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1479550" cy="1380490"/>
            <wp:effectExtent l="0" t="0" r="6350" b="0"/>
            <wp:wrapSquare wrapText="bothSides"/>
            <wp:docPr id="3" name="Picture 3" descr="S:\SLHD_BAT\10. Random Docs\COLOUR SL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:\SLHD_BAT\10. Random Docs\COLOUR SLHD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9" behindDoc="0" locked="0" layoutInCell="1" allowOverlap="1" wp14:anchorId="268B2674" wp14:editId="3300749A">
            <wp:simplePos x="0" y="0"/>
            <wp:positionH relativeFrom="column">
              <wp:posOffset>-196850</wp:posOffset>
            </wp:positionH>
            <wp:positionV relativeFrom="paragraph">
              <wp:posOffset>0</wp:posOffset>
            </wp:positionV>
            <wp:extent cx="1447800" cy="1350010"/>
            <wp:effectExtent l="0" t="0" r="0" b="2540"/>
            <wp:wrapSquare wrapText="bothSides"/>
            <wp:docPr id="1126466530" name="Picture 1126466530" descr="S:\SLHD_BAT\10. Random Docs\COLOUR SL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:\SLHD_BAT\10. Random Docs\COLOUR SLHD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F981B" w14:textId="6CA8B9C5" w:rsidR="00444CEE" w:rsidRPr="000A5E72" w:rsidRDefault="00444CEE" w:rsidP="009E6CD2">
      <w:pPr>
        <w:pStyle w:val="Title"/>
        <w:jc w:val="center"/>
        <w:rPr>
          <w:sz w:val="32"/>
          <w:szCs w:val="32"/>
        </w:rPr>
      </w:pPr>
      <w:r>
        <w:t xml:space="preserve">VULNERABLE PERSONS </w:t>
      </w:r>
      <w:r w:rsidR="00453BC5">
        <w:t>P</w:t>
      </w:r>
      <w:r>
        <w:t xml:space="preserve">OLICY: </w:t>
      </w:r>
      <w:r w:rsidRPr="00453BC5">
        <w:rPr>
          <w:i/>
          <w:iCs/>
          <w:color w:val="7F7F7F" w:themeColor="text1" w:themeTint="80"/>
        </w:rPr>
        <w:t xml:space="preserve">Help when you </w:t>
      </w:r>
      <w:r w:rsidR="00453BC5" w:rsidRPr="00453BC5">
        <w:rPr>
          <w:i/>
          <w:iCs/>
          <w:color w:val="7F7F7F" w:themeColor="text1" w:themeTint="80"/>
        </w:rPr>
        <w:t>n</w:t>
      </w:r>
      <w:r w:rsidRPr="00453BC5">
        <w:rPr>
          <w:i/>
          <w:iCs/>
          <w:color w:val="7F7F7F" w:themeColor="text1" w:themeTint="80"/>
        </w:rPr>
        <w:t xml:space="preserve">eed </w:t>
      </w:r>
      <w:r w:rsidR="00851122" w:rsidRPr="00453BC5">
        <w:rPr>
          <w:i/>
          <w:iCs/>
          <w:color w:val="7F7F7F" w:themeColor="text1" w:themeTint="80"/>
        </w:rPr>
        <w:t>it.</w:t>
      </w:r>
    </w:p>
    <w:p w14:paraId="7B55344E" w14:textId="77777777" w:rsidR="00204B0A" w:rsidRDefault="00204B0A" w:rsidP="009E6CD2"/>
    <w:tbl>
      <w:tblPr>
        <w:tblpPr w:leftFromText="180" w:rightFromText="180" w:vertAnchor="text" w:horzAnchor="margin" w:tblpXSpec="right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534"/>
      </w:tblGrid>
      <w:tr w:rsidR="00213AE8" w14:paraId="5134D975" w14:textId="77777777" w:rsidTr="00213AE8">
        <w:tc>
          <w:tcPr>
            <w:tcW w:w="2988" w:type="dxa"/>
          </w:tcPr>
          <w:p w14:paraId="6B6A3C56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 w:rsidRPr="009F3AA8">
              <w:rPr>
                <w:rFonts w:cs="Arial"/>
                <w:b/>
              </w:rPr>
              <w:t>POLICY TITLE:</w:t>
            </w:r>
          </w:p>
        </w:tc>
        <w:tc>
          <w:tcPr>
            <w:tcW w:w="5534" w:type="dxa"/>
          </w:tcPr>
          <w:p w14:paraId="65999D4F" w14:textId="77777777" w:rsidR="00213AE8" w:rsidRPr="0035618B" w:rsidRDefault="00213AE8" w:rsidP="00213AE8">
            <w:pPr>
              <w:pStyle w:val="Title"/>
              <w:jc w:val="left"/>
              <w:rPr>
                <w:rFonts w:ascii="Verdana" w:hAnsi="Verdana"/>
                <w:b w:val="0"/>
              </w:rPr>
            </w:pPr>
            <w:r w:rsidRPr="0035618B">
              <w:rPr>
                <w:rFonts w:ascii="Verdana" w:hAnsi="Verdana"/>
                <w:sz w:val="24"/>
                <w:szCs w:val="24"/>
              </w:rPr>
              <w:t xml:space="preserve">Vulnerable Persons Policy: </w:t>
            </w:r>
            <w:r w:rsidRPr="0035618B">
              <w:rPr>
                <w:rFonts w:ascii="Verdana" w:hAnsi="Verdana"/>
                <w:i/>
                <w:iCs/>
                <w:sz w:val="24"/>
                <w:szCs w:val="24"/>
              </w:rPr>
              <w:t>Help when you need it</w:t>
            </w:r>
          </w:p>
        </w:tc>
      </w:tr>
      <w:tr w:rsidR="00213AE8" w14:paraId="7EE421BF" w14:textId="77777777" w:rsidTr="00213AE8">
        <w:tc>
          <w:tcPr>
            <w:tcW w:w="2988" w:type="dxa"/>
          </w:tcPr>
          <w:p w14:paraId="73873DB6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 w:rsidRPr="009F3AA8">
              <w:rPr>
                <w:rFonts w:cs="Arial"/>
                <w:b/>
              </w:rPr>
              <w:t>LEAD OFFICER:</w:t>
            </w:r>
          </w:p>
        </w:tc>
        <w:tc>
          <w:tcPr>
            <w:tcW w:w="5534" w:type="dxa"/>
          </w:tcPr>
          <w:p w14:paraId="265751A6" w14:textId="77777777" w:rsidR="00213AE8" w:rsidRDefault="00213AE8" w:rsidP="00213AE8">
            <w:pPr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Head of Housing Management</w:t>
            </w:r>
          </w:p>
        </w:tc>
      </w:tr>
      <w:tr w:rsidR="00213AE8" w14:paraId="21451878" w14:textId="77777777" w:rsidTr="00213AE8">
        <w:tc>
          <w:tcPr>
            <w:tcW w:w="2988" w:type="dxa"/>
          </w:tcPr>
          <w:p w14:paraId="10EF916E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 w:rsidRPr="009F3AA8">
              <w:rPr>
                <w:rFonts w:cs="Arial"/>
                <w:b/>
              </w:rPr>
              <w:t>DATE APPROVED:</w:t>
            </w:r>
          </w:p>
        </w:tc>
        <w:tc>
          <w:tcPr>
            <w:tcW w:w="5534" w:type="dxa"/>
          </w:tcPr>
          <w:p w14:paraId="51AAD1F2" w14:textId="77777777" w:rsidR="00213AE8" w:rsidRDefault="00213AE8" w:rsidP="00213AE8">
            <w:pPr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February 2025</w:t>
            </w:r>
          </w:p>
        </w:tc>
      </w:tr>
      <w:tr w:rsidR="00213AE8" w14:paraId="318D8E7A" w14:textId="77777777" w:rsidTr="00213AE8">
        <w:tc>
          <w:tcPr>
            <w:tcW w:w="2988" w:type="dxa"/>
          </w:tcPr>
          <w:p w14:paraId="72C8681E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 w:rsidRPr="009F3AA8">
              <w:rPr>
                <w:rFonts w:cs="Arial"/>
                <w:b/>
              </w:rPr>
              <w:t>APPROVED BY:</w:t>
            </w:r>
          </w:p>
        </w:tc>
        <w:tc>
          <w:tcPr>
            <w:tcW w:w="5534" w:type="dxa"/>
          </w:tcPr>
          <w:p w14:paraId="0D4F2D67" w14:textId="77777777" w:rsidR="00213AE8" w:rsidRPr="00833AEE" w:rsidRDefault="00213AE8" w:rsidP="00213AE8">
            <w:pPr>
              <w:spacing w:before="40" w:after="40"/>
            </w:pPr>
            <w:r>
              <w:rPr>
                <w:rFonts w:ascii="Verdana" w:hAnsi="Verdana"/>
                <w:bCs/>
              </w:rPr>
              <w:t>SLHD Board</w:t>
            </w:r>
          </w:p>
        </w:tc>
      </w:tr>
      <w:tr w:rsidR="00213AE8" w14:paraId="6268415B" w14:textId="77777777" w:rsidTr="00213AE8">
        <w:tc>
          <w:tcPr>
            <w:tcW w:w="2988" w:type="dxa"/>
          </w:tcPr>
          <w:p w14:paraId="1E9FB1CB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IMPLEMENTATION DATE:</w:t>
            </w:r>
          </w:p>
        </w:tc>
        <w:tc>
          <w:tcPr>
            <w:tcW w:w="5534" w:type="dxa"/>
          </w:tcPr>
          <w:p w14:paraId="6F74798E" w14:textId="77777777" w:rsidR="00213AE8" w:rsidRPr="00C867DF" w:rsidRDefault="00213AE8" w:rsidP="00213AE8">
            <w:pPr>
              <w:spacing w:before="40" w:after="40"/>
              <w:rPr>
                <w:rFonts w:ascii="Verdana" w:hAnsi="Verdana"/>
                <w:bCs/>
              </w:rPr>
            </w:pPr>
            <w:r w:rsidRPr="00C867DF">
              <w:rPr>
                <w:rFonts w:ascii="Verdana" w:hAnsi="Verdana"/>
                <w:bCs/>
              </w:rPr>
              <w:t>February 2025</w:t>
            </w:r>
          </w:p>
        </w:tc>
      </w:tr>
      <w:tr w:rsidR="00213AE8" w14:paraId="0D6157EB" w14:textId="77777777" w:rsidTr="00213AE8">
        <w:tc>
          <w:tcPr>
            <w:tcW w:w="2988" w:type="dxa"/>
          </w:tcPr>
          <w:p w14:paraId="54A03B2A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 w:rsidRPr="009F3AA8">
              <w:rPr>
                <w:rFonts w:cs="Arial"/>
                <w:b/>
              </w:rPr>
              <w:t>DATE FOR NEXT REVIEW:</w:t>
            </w:r>
          </w:p>
        </w:tc>
        <w:tc>
          <w:tcPr>
            <w:tcW w:w="5534" w:type="dxa"/>
          </w:tcPr>
          <w:p w14:paraId="220AA4CF" w14:textId="77777777" w:rsidR="00213AE8" w:rsidRPr="00C867DF" w:rsidRDefault="00213AE8" w:rsidP="00213AE8">
            <w:pPr>
              <w:spacing w:before="40" w:after="40"/>
            </w:pPr>
            <w:r w:rsidRPr="00C867DF">
              <w:rPr>
                <w:rFonts w:ascii="Verdana" w:hAnsi="Verdana"/>
                <w:bCs/>
              </w:rPr>
              <w:t>February 2028</w:t>
            </w:r>
          </w:p>
        </w:tc>
      </w:tr>
      <w:tr w:rsidR="00213AE8" w14:paraId="5A48E165" w14:textId="77777777" w:rsidTr="00213AE8">
        <w:tc>
          <w:tcPr>
            <w:tcW w:w="2988" w:type="dxa"/>
          </w:tcPr>
          <w:p w14:paraId="6A76871E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 w:rsidRPr="009F3AA8">
              <w:rPr>
                <w:rFonts w:cs="Arial"/>
                <w:b/>
              </w:rPr>
              <w:t>ADDITIONAL GUIDANCE:</w:t>
            </w:r>
          </w:p>
        </w:tc>
        <w:tc>
          <w:tcPr>
            <w:tcW w:w="5534" w:type="dxa"/>
          </w:tcPr>
          <w:p w14:paraId="602A854E" w14:textId="77777777" w:rsidR="00213AE8" w:rsidRPr="0007271A" w:rsidRDefault="00213AE8" w:rsidP="00213AE8">
            <w:pPr>
              <w:spacing w:after="160" w:line="259" w:lineRule="auto"/>
              <w:rPr>
                <w:rFonts w:ascii="Verdana" w:hAnsi="Verdana"/>
                <w:bCs/>
              </w:rPr>
            </w:pPr>
          </w:p>
        </w:tc>
      </w:tr>
      <w:tr w:rsidR="00213AE8" w14:paraId="528FDB58" w14:textId="77777777" w:rsidTr="00213AE8">
        <w:trPr>
          <w:trHeight w:val="6342"/>
        </w:trPr>
        <w:tc>
          <w:tcPr>
            <w:tcW w:w="2988" w:type="dxa"/>
          </w:tcPr>
          <w:p w14:paraId="38FBB449" w14:textId="77777777" w:rsidR="00213AE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bookmarkStart w:id="0" w:name="_Hlk188435780"/>
            <w:r w:rsidRPr="009F3AA8">
              <w:rPr>
                <w:rFonts w:cs="Arial"/>
                <w:b/>
              </w:rPr>
              <w:t>ASSOCIATED CUSTOMER PUBLICATIONS:</w:t>
            </w:r>
          </w:p>
          <w:p w14:paraId="2B403122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</w:p>
        </w:tc>
        <w:tc>
          <w:tcPr>
            <w:tcW w:w="5534" w:type="dxa"/>
          </w:tcPr>
          <w:p w14:paraId="58A9AC4F" w14:textId="77777777" w:rsidR="00213AE8" w:rsidRPr="0035618B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</w:rPr>
            </w:pPr>
            <w:bookmarkStart w:id="1" w:name="_Hlk188258304"/>
            <w:bookmarkStart w:id="2" w:name="_Hlk188293640"/>
            <w:bookmarkStart w:id="3" w:name="_Hlk188354189"/>
            <w:bookmarkStart w:id="4" w:name="_Hlk188385424"/>
            <w:r w:rsidRPr="0035618B">
              <w:rPr>
                <w:rStyle w:val="normaltextrun"/>
                <w:rFonts w:ascii="Verdana" w:hAnsi="Verdana" w:cs="Segoe UI"/>
              </w:rPr>
              <w:t>Equality, Diversity and Inclusion Policy</w:t>
            </w:r>
          </w:p>
          <w:bookmarkEnd w:id="1"/>
          <w:p w14:paraId="00442D11" w14:textId="77777777" w:rsidR="00213AE8" w:rsidRPr="0035618B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</w:rPr>
              <w:t xml:space="preserve">Secure </w:t>
            </w:r>
            <w:r w:rsidRPr="0035618B">
              <w:rPr>
                <w:rStyle w:val="normaltextrun"/>
                <w:rFonts w:ascii="Verdana" w:hAnsi="Verdana" w:cs="Segoe UI"/>
              </w:rPr>
              <w:t>Tenancy Agreement</w:t>
            </w:r>
            <w:r w:rsidRPr="0035618B">
              <w:rPr>
                <w:rStyle w:val="eop"/>
                <w:rFonts w:ascii="Verdana" w:hAnsi="Verdana" w:cs="Segoe UI"/>
              </w:rPr>
              <w:t> </w:t>
            </w:r>
          </w:p>
          <w:p w14:paraId="52819AE6" w14:textId="77777777" w:rsidR="00213AE8" w:rsidRPr="0035618B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5618B">
              <w:rPr>
                <w:rStyle w:val="normaltextrun"/>
                <w:rFonts w:ascii="Verdana" w:hAnsi="Verdana" w:cs="Segoe UI"/>
              </w:rPr>
              <w:t>Corporate Plan 2024-2028</w:t>
            </w:r>
            <w:r w:rsidRPr="0035618B">
              <w:rPr>
                <w:rStyle w:val="eop"/>
                <w:rFonts w:ascii="Verdana" w:hAnsi="Verdana" w:cs="Segoe UI"/>
              </w:rPr>
              <w:t> </w:t>
            </w:r>
          </w:p>
          <w:p w14:paraId="51204C76" w14:textId="77777777" w:rsidR="00213AE8" w:rsidRPr="0035618B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 w:rsidRPr="0035618B">
              <w:rPr>
                <w:rStyle w:val="normaltextrun"/>
                <w:rFonts w:ascii="Verdana" w:hAnsi="Verdana" w:cs="Segoe UI"/>
              </w:rPr>
              <w:t>Equality and Diversity Strategy</w:t>
            </w:r>
            <w:r w:rsidRPr="0035618B">
              <w:rPr>
                <w:rStyle w:val="eop"/>
                <w:rFonts w:ascii="Verdana" w:hAnsi="Verdana" w:cs="Segoe UI"/>
              </w:rPr>
              <w:t> </w:t>
            </w:r>
          </w:p>
          <w:p w14:paraId="5F222A19" w14:textId="77777777" w:rsidR="00213AE8" w:rsidRPr="0035618B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 w:rsidRPr="0035618B">
              <w:rPr>
                <w:rStyle w:val="eop"/>
                <w:rFonts w:ascii="Verdana" w:hAnsi="Verdana" w:cs="Segoe UI"/>
              </w:rPr>
              <w:t>CDC Allocations Policy</w:t>
            </w:r>
          </w:p>
          <w:p w14:paraId="3CB5FC1D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 w:rsidRPr="0035618B">
              <w:rPr>
                <w:rStyle w:val="eop"/>
                <w:rFonts w:ascii="Verdana" w:hAnsi="Verdana" w:cs="Segoe UI"/>
              </w:rPr>
              <w:t>Customer Access Strategy</w:t>
            </w:r>
          </w:p>
          <w:p w14:paraId="2C95C81E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>Secure Tenancy Strategy</w:t>
            </w:r>
          </w:p>
          <w:p w14:paraId="092AE9BD" w14:textId="77777777" w:rsidR="00213AE8" w:rsidRPr="0035618B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>Housing Management Policy (including ASB and Safeguarding)</w:t>
            </w:r>
          </w:p>
          <w:bookmarkEnd w:id="2"/>
          <w:p w14:paraId="4E55AC09" w14:textId="77777777" w:rsidR="00213AE8" w:rsidRPr="0035618B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 xml:space="preserve">Compliments, Comments and Complaints Policy </w:t>
            </w:r>
          </w:p>
          <w:bookmarkEnd w:id="3"/>
          <w:p w14:paraId="47B5ADD6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>Repairs and Maintenance Policy</w:t>
            </w:r>
          </w:p>
          <w:p w14:paraId="1FDAB90B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 w:rsidRPr="00213AE8">
              <w:rPr>
                <w:rStyle w:val="eop"/>
                <w:rFonts w:ascii="Verdana" w:hAnsi="Verdana" w:cs="Segoe UI"/>
              </w:rPr>
              <w:t>Rechargeable Works Policy</w:t>
            </w:r>
          </w:p>
          <w:p w14:paraId="24F9ADB8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 xml:space="preserve">Ad-Hoc Fencing Policy </w:t>
            </w:r>
          </w:p>
          <w:p w14:paraId="198A33B4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>Damp and Mould Policy</w:t>
            </w:r>
          </w:p>
          <w:p w14:paraId="65EE3B48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 xml:space="preserve">Communications Strategy </w:t>
            </w:r>
          </w:p>
          <w:p w14:paraId="7F653083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>Customer Access Strategy</w:t>
            </w:r>
          </w:p>
          <w:p w14:paraId="68031F5A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>Fire Management Policy</w:t>
            </w:r>
          </w:p>
          <w:p w14:paraId="5AD6B302" w14:textId="77777777" w:rsidR="00213AE8" w:rsidRPr="0035618B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>
              <w:rPr>
                <w:rStyle w:val="eop"/>
                <w:rFonts w:ascii="Verdana" w:hAnsi="Verdana" w:cs="Segoe UI"/>
              </w:rPr>
              <w:t>Data Smart Strategy</w:t>
            </w:r>
          </w:p>
          <w:bookmarkEnd w:id="4"/>
          <w:p w14:paraId="799E4278" w14:textId="77777777" w:rsidR="00213AE8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</w:rPr>
            </w:pPr>
            <w:r w:rsidRPr="006570FF">
              <w:rPr>
                <w:rStyle w:val="eop"/>
                <w:rFonts w:ascii="Verdana" w:hAnsi="Verdana" w:cs="Segoe UI"/>
              </w:rPr>
              <w:t xml:space="preserve">ICT Strategy </w:t>
            </w:r>
          </w:p>
          <w:p w14:paraId="48FDFAEB" w14:textId="4D8D1E68" w:rsidR="00213AE8" w:rsidRPr="0007271A" w:rsidRDefault="00213AE8" w:rsidP="00213A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bCs/>
              </w:rPr>
            </w:pPr>
            <w:r>
              <w:rPr>
                <w:rStyle w:val="eop"/>
                <w:rFonts w:ascii="Verdana" w:hAnsi="Verdana" w:cs="Segoe UI"/>
              </w:rPr>
              <w:t>Domestic Abuse Policy</w:t>
            </w:r>
          </w:p>
        </w:tc>
      </w:tr>
      <w:bookmarkEnd w:id="0"/>
      <w:tr w:rsidR="00213AE8" w14:paraId="4FB3F65D" w14:textId="77777777" w:rsidTr="00213AE8">
        <w:tc>
          <w:tcPr>
            <w:tcW w:w="2988" w:type="dxa"/>
          </w:tcPr>
          <w:p w14:paraId="73DE8DDE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 w:rsidRPr="009F3AA8">
              <w:rPr>
                <w:rFonts w:cs="Arial"/>
                <w:b/>
              </w:rPr>
              <w:t>TEAMS AFFECTED:</w:t>
            </w:r>
          </w:p>
        </w:tc>
        <w:tc>
          <w:tcPr>
            <w:tcW w:w="5534" w:type="dxa"/>
          </w:tcPr>
          <w:p w14:paraId="3BF561C1" w14:textId="77777777" w:rsidR="00213AE8" w:rsidRPr="00825D6E" w:rsidRDefault="00213AE8" w:rsidP="00213AE8">
            <w:pPr>
              <w:spacing w:before="40" w:after="40"/>
              <w:rPr>
                <w:rFonts w:cs="Arial"/>
                <w:bCs/>
              </w:rPr>
            </w:pPr>
            <w:r w:rsidRPr="00825D6E">
              <w:rPr>
                <w:rFonts w:cs="Arial"/>
                <w:bCs/>
              </w:rPr>
              <w:t>All Employees, Contractors, Board Members and St Leger Homes Customers</w:t>
            </w:r>
          </w:p>
        </w:tc>
      </w:tr>
      <w:tr w:rsidR="00213AE8" w14:paraId="3C07484D" w14:textId="77777777" w:rsidTr="00213AE8">
        <w:tc>
          <w:tcPr>
            <w:tcW w:w="2988" w:type="dxa"/>
          </w:tcPr>
          <w:p w14:paraId="45FF320A" w14:textId="77777777" w:rsidR="00213AE8" w:rsidRPr="009F3AA8" w:rsidRDefault="00213AE8" w:rsidP="00213AE8">
            <w:pPr>
              <w:spacing w:before="40" w:after="40"/>
              <w:jc w:val="left"/>
              <w:rPr>
                <w:rFonts w:cs="Arial"/>
                <w:b/>
              </w:rPr>
            </w:pPr>
            <w:r w:rsidRPr="009F3AA8">
              <w:rPr>
                <w:rFonts w:cs="Arial"/>
                <w:b/>
              </w:rPr>
              <w:lastRenderedPageBreak/>
              <w:t>THIS POLICY REPLACES WITH IMMEDIATE EFFECT:</w:t>
            </w:r>
          </w:p>
        </w:tc>
        <w:tc>
          <w:tcPr>
            <w:tcW w:w="5534" w:type="dxa"/>
          </w:tcPr>
          <w:p w14:paraId="6A2F84D1" w14:textId="77777777" w:rsidR="00213AE8" w:rsidRDefault="00213AE8" w:rsidP="00213AE8">
            <w:pPr>
              <w:spacing w:before="40" w:after="4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N/A</w:t>
            </w:r>
          </w:p>
        </w:tc>
      </w:tr>
    </w:tbl>
    <w:p w14:paraId="0EC47EBD" w14:textId="77777777" w:rsidR="00204B0A" w:rsidRDefault="00204B0A" w:rsidP="009E6CD2">
      <w:pPr>
        <w:rPr>
          <w:rFonts w:ascii="Arial Black" w:hAnsi="Arial Black"/>
          <w:sz w:val="40"/>
          <w:szCs w:val="40"/>
        </w:rPr>
      </w:pPr>
    </w:p>
    <w:p w14:paraId="6FD3E2F4" w14:textId="77777777" w:rsidR="00204B0A" w:rsidRDefault="00204B0A" w:rsidP="009E6CD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DOCUMENT CONTROL</w:t>
      </w:r>
    </w:p>
    <w:p w14:paraId="2EB69E55" w14:textId="77777777" w:rsidR="00204B0A" w:rsidRDefault="00204B0A" w:rsidP="009E6CD2">
      <w:pPr>
        <w:numPr>
          <w:ilvl w:val="12"/>
          <w:numId w:val="0"/>
        </w:numPr>
        <w:rPr>
          <w:rFonts w:cs="Arial"/>
        </w:rPr>
      </w:pPr>
    </w:p>
    <w:p w14:paraId="2EE4E7BD" w14:textId="77777777" w:rsidR="00204B0A" w:rsidRDefault="00204B0A" w:rsidP="009E6CD2">
      <w:pPr>
        <w:numPr>
          <w:ilvl w:val="12"/>
          <w:numId w:val="0"/>
        </w:numPr>
        <w:rPr>
          <w:rFonts w:cs="Arial"/>
        </w:rPr>
      </w:pPr>
      <w:r>
        <w:rPr>
          <w:rFonts w:cs="Arial"/>
        </w:rPr>
        <w:t>For guidance on completing this section please refer to the document version control guidance notes</w:t>
      </w:r>
    </w:p>
    <w:p w14:paraId="3E76FFF5" w14:textId="77777777" w:rsidR="00204B0A" w:rsidRDefault="00204B0A" w:rsidP="009E6CD2">
      <w:pPr>
        <w:rPr>
          <w:rFonts w:cs="Arial"/>
          <w:b/>
          <w:sz w:val="28"/>
          <w:szCs w:val="28"/>
        </w:rPr>
      </w:pPr>
    </w:p>
    <w:p w14:paraId="7646326B" w14:textId="77777777" w:rsidR="00204B0A" w:rsidRDefault="00204B0A" w:rsidP="009E6CD2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Revision History</w:t>
      </w:r>
    </w:p>
    <w:p w14:paraId="7E091998" w14:textId="77777777" w:rsidR="00204B0A" w:rsidRDefault="00204B0A" w:rsidP="009E6CD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840"/>
      </w:tblGrid>
      <w:tr w:rsidR="00204B0A" w14:paraId="05D9D7CC" w14:textId="77777777" w:rsidTr="00657CD0">
        <w:trPr>
          <w:trHeight w:val="377"/>
        </w:trPr>
        <w:tc>
          <w:tcPr>
            <w:tcW w:w="2808" w:type="dxa"/>
            <w:vAlign w:val="center"/>
          </w:tcPr>
          <w:p w14:paraId="3E27DD9F" w14:textId="77777777" w:rsidR="00204B0A" w:rsidRDefault="00204B0A" w:rsidP="009E6C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this revision:</w:t>
            </w:r>
          </w:p>
        </w:tc>
        <w:tc>
          <w:tcPr>
            <w:tcW w:w="6840" w:type="dxa"/>
            <w:vAlign w:val="center"/>
          </w:tcPr>
          <w:p w14:paraId="1A6DEAEA" w14:textId="0CB7A9CE" w:rsidR="00204B0A" w:rsidRDefault="00444CEE" w:rsidP="009E6CD2">
            <w:pPr>
              <w:tabs>
                <w:tab w:val="left" w:pos="6687"/>
              </w:tabs>
              <w:rPr>
                <w:rFonts w:cs="Arial"/>
              </w:rPr>
            </w:pPr>
            <w:r>
              <w:rPr>
                <w:rFonts w:cs="Arial"/>
              </w:rPr>
              <w:t>New Policy</w:t>
            </w:r>
            <w:r w:rsidR="008417A0">
              <w:rPr>
                <w:rFonts w:cs="Arial"/>
              </w:rPr>
              <w:t xml:space="preserve"> – entirely replaces the previous Policy</w:t>
            </w:r>
          </w:p>
        </w:tc>
      </w:tr>
      <w:tr w:rsidR="00204B0A" w14:paraId="788F5ADC" w14:textId="77777777" w:rsidTr="00657CD0">
        <w:trPr>
          <w:trHeight w:val="359"/>
        </w:trPr>
        <w:tc>
          <w:tcPr>
            <w:tcW w:w="2808" w:type="dxa"/>
            <w:vAlign w:val="center"/>
          </w:tcPr>
          <w:p w14:paraId="113856D9" w14:textId="77777777" w:rsidR="00204B0A" w:rsidRDefault="00204B0A" w:rsidP="009E6C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next review:</w:t>
            </w:r>
          </w:p>
        </w:tc>
        <w:tc>
          <w:tcPr>
            <w:tcW w:w="6840" w:type="dxa"/>
            <w:vAlign w:val="center"/>
          </w:tcPr>
          <w:p w14:paraId="39687CFA" w14:textId="0B4E5353" w:rsidR="00204B0A" w:rsidRDefault="0070122D" w:rsidP="009E6CD2">
            <w:pPr>
              <w:tabs>
                <w:tab w:val="left" w:pos="668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February </w:t>
            </w:r>
            <w:r w:rsidR="00444CEE" w:rsidRPr="00C867DF">
              <w:rPr>
                <w:rFonts w:cs="Arial"/>
              </w:rPr>
              <w:t>202</w:t>
            </w:r>
            <w:r w:rsidR="00C867DF" w:rsidRPr="00C867DF">
              <w:rPr>
                <w:rFonts w:cs="Arial"/>
              </w:rPr>
              <w:t>8</w:t>
            </w:r>
          </w:p>
        </w:tc>
      </w:tr>
      <w:tr w:rsidR="00204B0A" w14:paraId="2D874DC7" w14:textId="77777777" w:rsidTr="00657CD0">
        <w:trPr>
          <w:trHeight w:val="341"/>
        </w:trPr>
        <w:tc>
          <w:tcPr>
            <w:tcW w:w="2808" w:type="dxa"/>
            <w:vAlign w:val="center"/>
          </w:tcPr>
          <w:p w14:paraId="2E9D942C" w14:textId="77777777" w:rsidR="00204B0A" w:rsidRDefault="00204B0A" w:rsidP="009E6CD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Responsible Officer:</w:t>
            </w:r>
          </w:p>
        </w:tc>
        <w:tc>
          <w:tcPr>
            <w:tcW w:w="6840" w:type="dxa"/>
            <w:vAlign w:val="center"/>
          </w:tcPr>
          <w:p w14:paraId="6E4A2556" w14:textId="7E3FCF23" w:rsidR="00204B0A" w:rsidRDefault="00444CEE" w:rsidP="009E6CD2">
            <w:pPr>
              <w:tabs>
                <w:tab w:val="left" w:pos="6687"/>
              </w:tabs>
              <w:rPr>
                <w:rFonts w:cs="Arial"/>
              </w:rPr>
            </w:pPr>
            <w:r>
              <w:rPr>
                <w:rFonts w:cs="Arial"/>
              </w:rPr>
              <w:t>Head of Housing Management</w:t>
            </w:r>
          </w:p>
        </w:tc>
      </w:tr>
    </w:tbl>
    <w:p w14:paraId="3ABF96BF" w14:textId="77777777" w:rsidR="00204B0A" w:rsidRDefault="00204B0A" w:rsidP="009E6CD2">
      <w:pPr>
        <w:rPr>
          <w:rFonts w:cs="Arial"/>
        </w:rPr>
      </w:pPr>
    </w:p>
    <w:p w14:paraId="6306F3DA" w14:textId="77777777" w:rsidR="00204B0A" w:rsidRDefault="00204B0A" w:rsidP="009E6CD2">
      <w:pPr>
        <w:rPr>
          <w:rFonts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553"/>
        <w:gridCol w:w="2232"/>
        <w:gridCol w:w="4608"/>
      </w:tblGrid>
      <w:tr w:rsidR="00204B0A" w14:paraId="31D28AC8" w14:textId="77777777" w:rsidTr="00657CD0">
        <w:tc>
          <w:tcPr>
            <w:tcW w:w="1255" w:type="dxa"/>
            <w:vAlign w:val="center"/>
          </w:tcPr>
          <w:p w14:paraId="1CC5E390" w14:textId="77777777" w:rsidR="00204B0A" w:rsidRDefault="00204B0A" w:rsidP="009E6C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 Number</w:t>
            </w:r>
          </w:p>
        </w:tc>
        <w:tc>
          <w:tcPr>
            <w:tcW w:w="1553" w:type="dxa"/>
            <w:vAlign w:val="center"/>
          </w:tcPr>
          <w:p w14:paraId="6EB7DE55" w14:textId="77777777" w:rsidR="00204B0A" w:rsidRDefault="00204B0A" w:rsidP="009E6C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 Date</w:t>
            </w:r>
          </w:p>
        </w:tc>
        <w:tc>
          <w:tcPr>
            <w:tcW w:w="2232" w:type="dxa"/>
            <w:vAlign w:val="center"/>
          </w:tcPr>
          <w:p w14:paraId="1ED9469C" w14:textId="77777777" w:rsidR="00204B0A" w:rsidRDefault="00204B0A" w:rsidP="009E6C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Author/Group commenting</w:t>
            </w:r>
          </w:p>
        </w:tc>
        <w:tc>
          <w:tcPr>
            <w:tcW w:w="4608" w:type="dxa"/>
            <w:vAlign w:val="center"/>
          </w:tcPr>
          <w:p w14:paraId="10769F86" w14:textId="77777777" w:rsidR="00204B0A" w:rsidRDefault="00204B0A" w:rsidP="009E6C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Summary of Changes</w:t>
            </w:r>
          </w:p>
        </w:tc>
      </w:tr>
      <w:tr w:rsidR="00204B0A" w14:paraId="6EA8DA80" w14:textId="77777777" w:rsidTr="00657CD0">
        <w:trPr>
          <w:trHeight w:val="386"/>
        </w:trPr>
        <w:tc>
          <w:tcPr>
            <w:tcW w:w="1255" w:type="dxa"/>
            <w:vAlign w:val="center"/>
          </w:tcPr>
          <w:p w14:paraId="7522EFD9" w14:textId="52A6597B" w:rsidR="00204B0A" w:rsidRDefault="00444CEE" w:rsidP="009E6C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1553" w:type="dxa"/>
            <w:vAlign w:val="center"/>
          </w:tcPr>
          <w:p w14:paraId="585845D3" w14:textId="028D76CC" w:rsidR="00204B0A" w:rsidRDefault="0070122D" w:rsidP="009E6C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Feb</w:t>
            </w:r>
            <w:r w:rsidR="00444CEE">
              <w:rPr>
                <w:rFonts w:cs="Arial"/>
              </w:rPr>
              <w:t xml:space="preserve"> 2025</w:t>
            </w:r>
          </w:p>
        </w:tc>
        <w:tc>
          <w:tcPr>
            <w:tcW w:w="2232" w:type="dxa"/>
            <w:vAlign w:val="center"/>
          </w:tcPr>
          <w:p w14:paraId="4D7BA25E" w14:textId="0BEEC35C" w:rsidR="00204B0A" w:rsidRDefault="00444CEE" w:rsidP="009E6CD2">
            <w:pPr>
              <w:rPr>
                <w:rFonts w:cs="Arial"/>
              </w:rPr>
            </w:pPr>
            <w:r>
              <w:rPr>
                <w:rFonts w:cs="Arial"/>
              </w:rPr>
              <w:t>Head of Housing Management</w:t>
            </w:r>
          </w:p>
        </w:tc>
        <w:tc>
          <w:tcPr>
            <w:tcW w:w="4608" w:type="dxa"/>
            <w:vAlign w:val="center"/>
          </w:tcPr>
          <w:p w14:paraId="1B10CD83" w14:textId="539CCE12" w:rsidR="00204B0A" w:rsidRDefault="00444CEE" w:rsidP="009E6C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New Policy</w:t>
            </w:r>
          </w:p>
        </w:tc>
      </w:tr>
      <w:tr w:rsidR="00204B0A" w14:paraId="19DA58F5" w14:textId="77777777" w:rsidTr="00657CD0">
        <w:trPr>
          <w:trHeight w:val="359"/>
        </w:trPr>
        <w:tc>
          <w:tcPr>
            <w:tcW w:w="1255" w:type="dxa"/>
            <w:vAlign w:val="center"/>
          </w:tcPr>
          <w:p w14:paraId="5ED35E61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1553" w:type="dxa"/>
            <w:vAlign w:val="center"/>
          </w:tcPr>
          <w:p w14:paraId="6DD88F12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2232" w:type="dxa"/>
            <w:vAlign w:val="center"/>
          </w:tcPr>
          <w:p w14:paraId="27F58B98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4608" w:type="dxa"/>
            <w:vAlign w:val="center"/>
          </w:tcPr>
          <w:p w14:paraId="11F908FC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</w:tr>
      <w:tr w:rsidR="00204B0A" w14:paraId="5E0A0A02" w14:textId="77777777" w:rsidTr="00657CD0">
        <w:trPr>
          <w:trHeight w:val="341"/>
        </w:trPr>
        <w:tc>
          <w:tcPr>
            <w:tcW w:w="1255" w:type="dxa"/>
            <w:vAlign w:val="center"/>
          </w:tcPr>
          <w:p w14:paraId="68936553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1553" w:type="dxa"/>
            <w:vAlign w:val="center"/>
          </w:tcPr>
          <w:p w14:paraId="79A31570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2232" w:type="dxa"/>
            <w:vAlign w:val="center"/>
          </w:tcPr>
          <w:p w14:paraId="007A664C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4608" w:type="dxa"/>
            <w:vAlign w:val="center"/>
          </w:tcPr>
          <w:p w14:paraId="72B327C8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</w:tr>
      <w:tr w:rsidR="00204B0A" w14:paraId="058E1BC9" w14:textId="77777777" w:rsidTr="00657CD0">
        <w:trPr>
          <w:trHeight w:val="359"/>
        </w:trPr>
        <w:tc>
          <w:tcPr>
            <w:tcW w:w="1255" w:type="dxa"/>
            <w:vAlign w:val="center"/>
          </w:tcPr>
          <w:p w14:paraId="422ED8C0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1553" w:type="dxa"/>
            <w:vAlign w:val="center"/>
          </w:tcPr>
          <w:p w14:paraId="1A3E186A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2232" w:type="dxa"/>
            <w:vAlign w:val="center"/>
          </w:tcPr>
          <w:p w14:paraId="5B3B6C1A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  <w:tc>
          <w:tcPr>
            <w:tcW w:w="4608" w:type="dxa"/>
            <w:vAlign w:val="center"/>
          </w:tcPr>
          <w:p w14:paraId="11AF1A3C" w14:textId="77777777" w:rsidR="00204B0A" w:rsidRDefault="00204B0A" w:rsidP="009E6CD2">
            <w:pPr>
              <w:jc w:val="center"/>
              <w:rPr>
                <w:rFonts w:cs="Arial"/>
              </w:rPr>
            </w:pPr>
          </w:p>
        </w:tc>
      </w:tr>
    </w:tbl>
    <w:p w14:paraId="37CC9309" w14:textId="77777777" w:rsidR="00204B0A" w:rsidRDefault="00204B0A" w:rsidP="009E6CD2">
      <w:pPr>
        <w:rPr>
          <w:rFonts w:cs="Arial"/>
          <w:sz w:val="20"/>
          <w:szCs w:val="20"/>
        </w:rPr>
      </w:pPr>
    </w:p>
    <w:p w14:paraId="3E318FC5" w14:textId="77777777" w:rsidR="00204B0A" w:rsidRDefault="00204B0A" w:rsidP="009E6CD2"/>
    <w:p w14:paraId="3AEC6FEF" w14:textId="77777777" w:rsidR="00204B0A" w:rsidRDefault="00204B0A" w:rsidP="009E6CD2"/>
    <w:p w14:paraId="1B8EFABE" w14:textId="2BDB3E37" w:rsidR="00204B0A" w:rsidRDefault="00793B95" w:rsidP="00793B95">
      <w:pPr>
        <w:tabs>
          <w:tab w:val="left" w:pos="2832"/>
        </w:tabs>
      </w:pPr>
      <w:r>
        <w:tab/>
      </w:r>
    </w:p>
    <w:p w14:paraId="57361979" w14:textId="77777777" w:rsidR="00204B0A" w:rsidRDefault="00204B0A" w:rsidP="009E6CD2"/>
    <w:p w14:paraId="517C179D" w14:textId="77777777" w:rsidR="00204B0A" w:rsidRDefault="00204B0A" w:rsidP="009E6CD2"/>
    <w:p w14:paraId="20A2C804" w14:textId="77777777" w:rsidR="00204B0A" w:rsidRDefault="00204B0A" w:rsidP="009E6CD2"/>
    <w:p w14:paraId="1FDFFD19" w14:textId="77777777" w:rsidR="00204B0A" w:rsidRDefault="00204B0A" w:rsidP="009E6CD2"/>
    <w:p w14:paraId="6EFD7209" w14:textId="77777777" w:rsidR="00204B0A" w:rsidRDefault="00204B0A" w:rsidP="009E6CD2"/>
    <w:p w14:paraId="0C0CA7D4" w14:textId="77777777" w:rsidR="00204B0A" w:rsidRDefault="00204B0A" w:rsidP="009E6CD2"/>
    <w:p w14:paraId="5C8F1A80" w14:textId="77777777" w:rsidR="00204B0A" w:rsidRDefault="00204B0A" w:rsidP="009E6CD2"/>
    <w:p w14:paraId="78F879F6" w14:textId="77777777" w:rsidR="00204B0A" w:rsidRDefault="00204B0A" w:rsidP="009E6CD2"/>
    <w:p w14:paraId="6F6BCDEC" w14:textId="77777777" w:rsidR="00204B0A" w:rsidRDefault="00204B0A" w:rsidP="009E6CD2"/>
    <w:p w14:paraId="15C7C4CF" w14:textId="77777777" w:rsidR="00204B0A" w:rsidRDefault="00204B0A" w:rsidP="009E6CD2"/>
    <w:p w14:paraId="2BD5E63C" w14:textId="77777777" w:rsidR="00204B0A" w:rsidRDefault="00204B0A" w:rsidP="009E6CD2"/>
    <w:p w14:paraId="47EE45A4" w14:textId="77777777" w:rsidR="00204B0A" w:rsidRDefault="00204B0A" w:rsidP="009E6CD2"/>
    <w:p w14:paraId="1AF2871D" w14:textId="77777777" w:rsidR="00204B0A" w:rsidRDefault="00204B0A" w:rsidP="009E6CD2"/>
    <w:p w14:paraId="6536118A" w14:textId="77777777" w:rsidR="00204B0A" w:rsidRDefault="00204B0A" w:rsidP="009E6CD2"/>
    <w:p w14:paraId="664BC933" w14:textId="77777777" w:rsidR="00204B0A" w:rsidRDefault="00204B0A" w:rsidP="009E6CD2"/>
    <w:p w14:paraId="0472A337" w14:textId="5A6C317A" w:rsidR="00204B0A" w:rsidRDefault="00204B0A" w:rsidP="009E6CD2"/>
    <w:p w14:paraId="03B2F276" w14:textId="030C43E1" w:rsidR="009C2857" w:rsidRDefault="009C2857" w:rsidP="009E6CD2"/>
    <w:p w14:paraId="1DF71883" w14:textId="77777777" w:rsidR="00C867DF" w:rsidRDefault="00C867DF" w:rsidP="009E6CD2">
      <w:pPr>
        <w:rPr>
          <w:rFonts w:cs="Arial"/>
          <w:b/>
        </w:rPr>
      </w:pPr>
    </w:p>
    <w:p w14:paraId="22E8E004" w14:textId="77777777" w:rsidR="00C867DF" w:rsidRPr="00C867DF" w:rsidRDefault="00C867DF" w:rsidP="00C867DF">
      <w:pPr>
        <w:rPr>
          <w:rFonts w:cs="Arial"/>
        </w:rPr>
      </w:pPr>
    </w:p>
    <w:p w14:paraId="610E9AE7" w14:textId="77777777" w:rsidR="00C867DF" w:rsidRPr="00C867DF" w:rsidRDefault="00C867DF" w:rsidP="00C867DF">
      <w:pPr>
        <w:rPr>
          <w:rFonts w:cs="Arial"/>
        </w:rPr>
      </w:pPr>
    </w:p>
    <w:p w14:paraId="6D515A12" w14:textId="77777777" w:rsidR="00C867DF" w:rsidRDefault="00C867DF" w:rsidP="00C867DF">
      <w:pPr>
        <w:jc w:val="center"/>
        <w:rPr>
          <w:rFonts w:cs="Arial"/>
          <w:b/>
        </w:rPr>
      </w:pPr>
    </w:p>
    <w:p w14:paraId="4071EC43" w14:textId="64F96065" w:rsidR="00EB5A58" w:rsidRPr="00EB5A58" w:rsidRDefault="00BC49F9" w:rsidP="009E6CD2">
      <w:pPr>
        <w:rPr>
          <w:rFonts w:cs="Arial"/>
          <w:b/>
        </w:rPr>
      </w:pPr>
      <w:r w:rsidRPr="00C867DF">
        <w:rPr>
          <w:rFonts w:cs="Arial"/>
        </w:rPr>
        <w:br w:type="page"/>
      </w:r>
      <w:r w:rsidR="00EB5A58" w:rsidRPr="00EB5A58">
        <w:rPr>
          <w:rFonts w:cs="Arial"/>
          <w:b/>
        </w:rPr>
        <w:lastRenderedPageBreak/>
        <w:t>Policy Creation and Review Checklist</w:t>
      </w:r>
    </w:p>
    <w:p w14:paraId="6D81AE43" w14:textId="77777777" w:rsidR="00EB5A58" w:rsidRDefault="00EB5A58" w:rsidP="009E6CD2"/>
    <w:tbl>
      <w:tblPr>
        <w:tblW w:w="9468" w:type="dxa"/>
        <w:tblLook w:val="01E0" w:firstRow="1" w:lastRow="1" w:firstColumn="1" w:lastColumn="1" w:noHBand="0" w:noVBand="0"/>
      </w:tblPr>
      <w:tblGrid>
        <w:gridCol w:w="9327"/>
        <w:gridCol w:w="222"/>
        <w:gridCol w:w="222"/>
      </w:tblGrid>
      <w:tr w:rsidR="00EB5A58" w:rsidRPr="00941731" w14:paraId="2EF4CA69" w14:textId="77777777" w:rsidTr="00941731">
        <w:trPr>
          <w:trHeight w:val="397"/>
        </w:trPr>
        <w:tc>
          <w:tcPr>
            <w:tcW w:w="7484" w:type="dxa"/>
            <w:vAlign w:val="center"/>
          </w:tcPr>
          <w:tbl>
            <w:tblPr>
              <w:tblStyle w:val="TableGrid"/>
              <w:tblW w:w="9101" w:type="dxa"/>
              <w:tblLook w:val="04A0" w:firstRow="1" w:lastRow="0" w:firstColumn="1" w:lastColumn="0" w:noHBand="0" w:noVBand="1"/>
            </w:tblPr>
            <w:tblGrid>
              <w:gridCol w:w="3429"/>
              <w:gridCol w:w="3119"/>
              <w:gridCol w:w="2553"/>
            </w:tblGrid>
            <w:tr w:rsidR="000A5E72" w:rsidRPr="00941731" w14:paraId="4C63F85F" w14:textId="77777777" w:rsidTr="000A5E72">
              <w:tc>
                <w:tcPr>
                  <w:tcW w:w="3429" w:type="dxa"/>
                </w:tcPr>
                <w:p w14:paraId="3EF9A78E" w14:textId="722A8542" w:rsidR="000A5E72" w:rsidRPr="00941731" w:rsidRDefault="000A5E72" w:rsidP="009E6CD2">
                  <w:pPr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ACTION</w:t>
                  </w:r>
                </w:p>
              </w:tc>
              <w:tc>
                <w:tcPr>
                  <w:tcW w:w="3119" w:type="dxa"/>
                </w:tcPr>
                <w:p w14:paraId="0A9DBF77" w14:textId="5D9A8592" w:rsidR="000A5E72" w:rsidRPr="00941731" w:rsidRDefault="000A5E72" w:rsidP="009E6CD2">
                  <w:pPr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RESPONSIBLE OFFICER</w:t>
                  </w:r>
                </w:p>
              </w:tc>
              <w:tc>
                <w:tcPr>
                  <w:tcW w:w="2553" w:type="dxa"/>
                </w:tcPr>
                <w:p w14:paraId="60C6F9A4" w14:textId="4B0D2040" w:rsidR="000A5E72" w:rsidRPr="00941731" w:rsidRDefault="000A5E72" w:rsidP="009E6CD2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DATE COMPLETED</w:t>
                  </w:r>
                </w:p>
              </w:tc>
            </w:tr>
            <w:tr w:rsidR="00DD2753" w:rsidRPr="00941731" w14:paraId="1AC86B04" w14:textId="77777777" w:rsidTr="000A5E72">
              <w:tc>
                <w:tcPr>
                  <w:tcW w:w="3429" w:type="dxa"/>
                </w:tcPr>
                <w:p w14:paraId="50D76359" w14:textId="19A6A454" w:rsidR="00DD2753" w:rsidRPr="00941731" w:rsidRDefault="00941731" w:rsidP="009E6CD2">
                  <w:pPr>
                    <w:jc w:val="left"/>
                    <w:rPr>
                      <w:rFonts w:cs="Arial"/>
                      <w:b/>
                    </w:rPr>
                  </w:pPr>
                  <w:r w:rsidRPr="00941731">
                    <w:rPr>
                      <w:rFonts w:cs="Arial"/>
                    </w:rPr>
                    <w:t>Best practice researched (</w:t>
                  </w:r>
                  <w:proofErr w:type="spellStart"/>
                  <w:r w:rsidRPr="00941731">
                    <w:rPr>
                      <w:rFonts w:cs="Arial"/>
                    </w:rPr>
                    <w:t>HouseMark</w:t>
                  </w:r>
                  <w:proofErr w:type="spellEnd"/>
                  <w:r w:rsidRPr="00941731">
                    <w:rPr>
                      <w:rFonts w:cs="Arial"/>
                    </w:rPr>
                    <w:t xml:space="preserve">, HQN, </w:t>
                  </w:r>
                  <w:r w:rsidR="00E9116E">
                    <w:rPr>
                      <w:rFonts w:cs="Arial"/>
                    </w:rPr>
                    <w:t>NFA</w:t>
                  </w:r>
                  <w:r w:rsidRPr="00941731">
                    <w:rPr>
                      <w:rFonts w:cs="Arial"/>
                    </w:rPr>
                    <w:t>,</w:t>
                  </w:r>
                  <w:r w:rsidR="007735D0">
                    <w:rPr>
                      <w:rFonts w:cs="Arial"/>
                    </w:rPr>
                    <w:t xml:space="preserve"> RSH</w:t>
                  </w:r>
                  <w:r w:rsidR="00976AC3">
                    <w:rPr>
                      <w:rFonts w:cs="Arial"/>
                    </w:rPr>
                    <w:t>,</w:t>
                  </w:r>
                  <w:r w:rsidRPr="00941731">
                    <w:rPr>
                      <w:rFonts w:cs="Arial"/>
                    </w:rPr>
                    <w:t xml:space="preserve"> general websites)</w:t>
                  </w:r>
                </w:p>
              </w:tc>
              <w:tc>
                <w:tcPr>
                  <w:tcW w:w="3119" w:type="dxa"/>
                </w:tcPr>
                <w:p w14:paraId="720B2405" w14:textId="250C6989" w:rsidR="00941731" w:rsidRPr="00444CEE" w:rsidRDefault="00444CEE" w:rsidP="009E6CD2">
                  <w:pPr>
                    <w:jc w:val="left"/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Head of Housing Management</w:t>
                  </w:r>
                </w:p>
              </w:tc>
              <w:tc>
                <w:tcPr>
                  <w:tcW w:w="2553" w:type="dxa"/>
                </w:tcPr>
                <w:p w14:paraId="5568FCB0" w14:textId="7E1EF2DC" w:rsidR="00941731" w:rsidRPr="00444CEE" w:rsidRDefault="00444CEE" w:rsidP="009E6CD2">
                  <w:pPr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January 2025</w:t>
                  </w:r>
                </w:p>
                <w:p w14:paraId="3071DA17" w14:textId="2A5A60D2" w:rsidR="00941731" w:rsidRPr="00444CEE" w:rsidRDefault="00941731" w:rsidP="009E6CD2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941731" w:rsidRPr="00941731" w14:paraId="785C4C28" w14:textId="77777777" w:rsidTr="000A5E72">
              <w:tc>
                <w:tcPr>
                  <w:tcW w:w="3429" w:type="dxa"/>
                  <w:vAlign w:val="center"/>
                </w:tcPr>
                <w:p w14:paraId="14D12DC1" w14:textId="25780A96" w:rsidR="00941731" w:rsidRPr="00941731" w:rsidRDefault="00941731" w:rsidP="009E6CD2">
                  <w:pPr>
                    <w:jc w:val="left"/>
                    <w:rPr>
                      <w:rFonts w:cs="Arial"/>
                      <w:b/>
                    </w:rPr>
                  </w:pPr>
                  <w:r w:rsidRPr="00941731">
                    <w:rPr>
                      <w:rFonts w:cs="Arial"/>
                    </w:rPr>
                    <w:t xml:space="preserve">Review current practices from similar organisations </w:t>
                  </w:r>
                  <w:r w:rsidR="00976AC3">
                    <w:rPr>
                      <w:rFonts w:cs="Arial"/>
                    </w:rPr>
                    <w:t>(NFA)</w:t>
                  </w:r>
                </w:p>
              </w:tc>
              <w:tc>
                <w:tcPr>
                  <w:tcW w:w="3119" w:type="dxa"/>
                  <w:vAlign w:val="center"/>
                </w:tcPr>
                <w:p w14:paraId="37D50445" w14:textId="37857A3C" w:rsidR="00941731" w:rsidRPr="00444CEE" w:rsidRDefault="00444CEE" w:rsidP="009E6CD2">
                  <w:pPr>
                    <w:jc w:val="left"/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Head of Housing Management</w:t>
                  </w:r>
                </w:p>
              </w:tc>
              <w:tc>
                <w:tcPr>
                  <w:tcW w:w="2553" w:type="dxa"/>
                  <w:vAlign w:val="center"/>
                </w:tcPr>
                <w:p w14:paraId="241024A0" w14:textId="77777777" w:rsidR="00444CEE" w:rsidRPr="00444CEE" w:rsidRDefault="00444CEE" w:rsidP="009E6CD2">
                  <w:pPr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January 2025</w:t>
                  </w:r>
                </w:p>
                <w:p w14:paraId="02119A62" w14:textId="06C7642A" w:rsidR="00941731" w:rsidRPr="00444CEE" w:rsidRDefault="00941731" w:rsidP="009E6CD2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941731" w:rsidRPr="00941731" w14:paraId="0E26297E" w14:textId="77777777" w:rsidTr="000A5E72">
              <w:tc>
                <w:tcPr>
                  <w:tcW w:w="3429" w:type="dxa"/>
                  <w:vAlign w:val="center"/>
                </w:tcPr>
                <w:p w14:paraId="6F52046F" w14:textId="7C32E508" w:rsidR="00941731" w:rsidRPr="00941731" w:rsidRDefault="00941731" w:rsidP="009E6CD2">
                  <w:pPr>
                    <w:jc w:val="left"/>
                    <w:rPr>
                      <w:rFonts w:cs="Arial"/>
                      <w:b/>
                    </w:rPr>
                  </w:pPr>
                  <w:r w:rsidRPr="00941731">
                    <w:rPr>
                      <w:rFonts w:cs="Arial"/>
                    </w:rPr>
                    <w:t xml:space="preserve">Review customer satisfaction </w:t>
                  </w:r>
                  <w:r w:rsidR="00250C80">
                    <w:rPr>
                      <w:rFonts w:cs="Arial"/>
                    </w:rPr>
                    <w:t xml:space="preserve">/ complaints </w:t>
                  </w:r>
                  <w:r w:rsidRPr="00941731">
                    <w:rPr>
                      <w:rFonts w:cs="Arial"/>
                    </w:rPr>
                    <w:t>data from the area the policy relates to</w:t>
                  </w:r>
                </w:p>
              </w:tc>
              <w:tc>
                <w:tcPr>
                  <w:tcW w:w="3119" w:type="dxa"/>
                  <w:vAlign w:val="center"/>
                </w:tcPr>
                <w:p w14:paraId="38811554" w14:textId="16AF3328" w:rsidR="00941731" w:rsidRPr="00444CEE" w:rsidRDefault="00444CEE" w:rsidP="009E6CD2">
                  <w:pPr>
                    <w:jc w:val="left"/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Head of Housing Management</w:t>
                  </w:r>
                </w:p>
              </w:tc>
              <w:tc>
                <w:tcPr>
                  <w:tcW w:w="2553" w:type="dxa"/>
                </w:tcPr>
                <w:p w14:paraId="1A59DF80" w14:textId="77777777" w:rsidR="00444CEE" w:rsidRPr="00444CEE" w:rsidRDefault="00444CEE" w:rsidP="009E6CD2">
                  <w:pPr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January 2025</w:t>
                  </w:r>
                </w:p>
                <w:p w14:paraId="4B1C0CDC" w14:textId="77777777" w:rsidR="00941731" w:rsidRPr="00444CEE" w:rsidRDefault="00941731" w:rsidP="009E6CD2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941731" w:rsidRPr="00941731" w14:paraId="31367ABB" w14:textId="77777777" w:rsidTr="000A5E72">
              <w:tc>
                <w:tcPr>
                  <w:tcW w:w="3429" w:type="dxa"/>
                </w:tcPr>
                <w:p w14:paraId="71F92BDD" w14:textId="7BF11A23" w:rsidR="00941731" w:rsidRPr="00941731" w:rsidRDefault="00941731" w:rsidP="009E6CD2">
                  <w:pPr>
                    <w:jc w:val="left"/>
                    <w:rPr>
                      <w:rFonts w:cs="Arial"/>
                      <w:b/>
                    </w:rPr>
                  </w:pPr>
                  <w:r w:rsidRPr="00941731">
                    <w:rPr>
                      <w:rFonts w:cs="Arial"/>
                    </w:rPr>
                    <w:t>Undertake customer consultation if applicable</w:t>
                  </w:r>
                </w:p>
              </w:tc>
              <w:tc>
                <w:tcPr>
                  <w:tcW w:w="3119" w:type="dxa"/>
                </w:tcPr>
                <w:p w14:paraId="7F14A0DD" w14:textId="38552D89" w:rsidR="00941731" w:rsidRPr="00444CEE" w:rsidRDefault="00444CEE" w:rsidP="009E6CD2">
                  <w:pPr>
                    <w:jc w:val="left"/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Head of Housing Management</w:t>
                  </w:r>
                </w:p>
              </w:tc>
              <w:tc>
                <w:tcPr>
                  <w:tcW w:w="2553" w:type="dxa"/>
                </w:tcPr>
                <w:p w14:paraId="04DFEF05" w14:textId="77777777" w:rsidR="00444CEE" w:rsidRPr="00444CEE" w:rsidRDefault="00444CEE" w:rsidP="009E6CD2">
                  <w:pPr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January 2025</w:t>
                  </w:r>
                </w:p>
                <w:p w14:paraId="556C278F" w14:textId="7739D536" w:rsidR="00941731" w:rsidRPr="00444CEE" w:rsidRDefault="00941731" w:rsidP="009E6CD2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941731" w:rsidRPr="00941731" w14:paraId="0AEA283C" w14:textId="77777777" w:rsidTr="000A5E72">
              <w:tc>
                <w:tcPr>
                  <w:tcW w:w="3429" w:type="dxa"/>
                </w:tcPr>
                <w:p w14:paraId="22D078E1" w14:textId="3053841A" w:rsidR="00941731" w:rsidRPr="00941731" w:rsidRDefault="00941731" w:rsidP="009E6CD2">
                  <w:pPr>
                    <w:jc w:val="left"/>
                    <w:rPr>
                      <w:rFonts w:cs="Arial"/>
                      <w:b/>
                    </w:rPr>
                  </w:pPr>
                  <w:r w:rsidRPr="00941731">
                    <w:rPr>
                      <w:rFonts w:cs="Arial"/>
                    </w:rPr>
                    <w:t>Staff consultation through Trade Unions if applicable</w:t>
                  </w:r>
                </w:p>
              </w:tc>
              <w:tc>
                <w:tcPr>
                  <w:tcW w:w="3119" w:type="dxa"/>
                </w:tcPr>
                <w:p w14:paraId="32BA05D6" w14:textId="36C0B9B6" w:rsidR="00941731" w:rsidRPr="00941731" w:rsidRDefault="00444CEE" w:rsidP="009E6CD2">
                  <w:pPr>
                    <w:jc w:val="left"/>
                    <w:rPr>
                      <w:rFonts w:cs="Arial"/>
                      <w:b/>
                    </w:rPr>
                  </w:pPr>
                  <w:r w:rsidRPr="00444CEE">
                    <w:rPr>
                      <w:rFonts w:cs="Arial"/>
                      <w:bCs/>
                    </w:rPr>
                    <w:t>Head of Housing Management</w:t>
                  </w:r>
                </w:p>
              </w:tc>
              <w:tc>
                <w:tcPr>
                  <w:tcW w:w="2553" w:type="dxa"/>
                </w:tcPr>
                <w:p w14:paraId="1DE14B2A" w14:textId="733F7DE1" w:rsidR="00444CEE" w:rsidRPr="0070122D" w:rsidRDefault="00C27024" w:rsidP="009E6CD2">
                  <w:pPr>
                    <w:rPr>
                      <w:rFonts w:cs="Arial"/>
                      <w:bCs/>
                    </w:rPr>
                  </w:pPr>
                  <w:r w:rsidRPr="0070122D">
                    <w:rPr>
                      <w:rFonts w:cs="Arial"/>
                      <w:bCs/>
                    </w:rPr>
                    <w:t>N/A</w:t>
                  </w:r>
                </w:p>
                <w:p w14:paraId="257EC221" w14:textId="77777777" w:rsidR="00941731" w:rsidRPr="0070122D" w:rsidRDefault="00941731" w:rsidP="009E6CD2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941731" w:rsidRPr="00941731" w14:paraId="09173D45" w14:textId="77777777" w:rsidTr="000A5E72">
              <w:tc>
                <w:tcPr>
                  <w:tcW w:w="3429" w:type="dxa"/>
                </w:tcPr>
                <w:p w14:paraId="16034E1A" w14:textId="39146372" w:rsidR="00941731" w:rsidRPr="00941731" w:rsidRDefault="00941731" w:rsidP="009E6CD2">
                  <w:pPr>
                    <w:jc w:val="left"/>
                    <w:rPr>
                      <w:rFonts w:cs="Arial"/>
                      <w:b/>
                    </w:rPr>
                  </w:pPr>
                  <w:r w:rsidRPr="00941731">
                    <w:rPr>
                      <w:rFonts w:cs="Arial"/>
                    </w:rPr>
                    <w:t>Trade Union consultation if applicable</w:t>
                  </w:r>
                </w:p>
              </w:tc>
              <w:tc>
                <w:tcPr>
                  <w:tcW w:w="3119" w:type="dxa"/>
                </w:tcPr>
                <w:p w14:paraId="17D7EE2D" w14:textId="1AA145E6" w:rsidR="00941731" w:rsidRPr="00941731" w:rsidRDefault="00444CEE" w:rsidP="009E6CD2">
                  <w:pPr>
                    <w:jc w:val="left"/>
                    <w:rPr>
                      <w:rFonts w:cs="Arial"/>
                      <w:b/>
                    </w:rPr>
                  </w:pPr>
                  <w:r w:rsidRPr="00444CEE">
                    <w:rPr>
                      <w:rFonts w:cs="Arial"/>
                      <w:bCs/>
                    </w:rPr>
                    <w:t>Head of Housing Management</w:t>
                  </w:r>
                </w:p>
              </w:tc>
              <w:tc>
                <w:tcPr>
                  <w:tcW w:w="2553" w:type="dxa"/>
                </w:tcPr>
                <w:p w14:paraId="670D5482" w14:textId="2558ACA2" w:rsidR="00444CEE" w:rsidRPr="0070122D" w:rsidRDefault="00C27024" w:rsidP="009E6CD2">
                  <w:pPr>
                    <w:rPr>
                      <w:rFonts w:cs="Arial"/>
                      <w:bCs/>
                    </w:rPr>
                  </w:pPr>
                  <w:r w:rsidRPr="0070122D">
                    <w:rPr>
                      <w:rFonts w:cs="Arial"/>
                      <w:bCs/>
                    </w:rPr>
                    <w:t>N/A</w:t>
                  </w:r>
                </w:p>
                <w:p w14:paraId="51D8E6B3" w14:textId="77777777" w:rsidR="00941731" w:rsidRPr="0070122D" w:rsidRDefault="00941731" w:rsidP="009E6CD2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941731" w:rsidRPr="00941731" w14:paraId="1B0C523E" w14:textId="77777777" w:rsidTr="000A5E72">
              <w:tc>
                <w:tcPr>
                  <w:tcW w:w="3429" w:type="dxa"/>
                </w:tcPr>
                <w:p w14:paraId="6E274824" w14:textId="63365FB2" w:rsidR="00941731" w:rsidRPr="00941731" w:rsidRDefault="006F23FA" w:rsidP="009E6CD2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Other s</w:t>
                  </w:r>
                  <w:r w:rsidR="00941731" w:rsidRPr="00941731">
                    <w:rPr>
                      <w:rFonts w:cs="Arial"/>
                    </w:rPr>
                    <w:t>takeholder consultation if applicable</w:t>
                  </w:r>
                </w:p>
              </w:tc>
              <w:tc>
                <w:tcPr>
                  <w:tcW w:w="3119" w:type="dxa"/>
                  <w:vAlign w:val="center"/>
                </w:tcPr>
                <w:p w14:paraId="74077E5E" w14:textId="380346AC" w:rsidR="00941731" w:rsidRPr="00941731" w:rsidRDefault="00444CEE" w:rsidP="009E6CD2">
                  <w:pPr>
                    <w:jc w:val="left"/>
                    <w:rPr>
                      <w:rFonts w:cs="Arial"/>
                    </w:rPr>
                  </w:pPr>
                  <w:r w:rsidRPr="00444CEE">
                    <w:rPr>
                      <w:rFonts w:cs="Arial"/>
                      <w:bCs/>
                    </w:rPr>
                    <w:t>Head of Housing Management</w:t>
                  </w:r>
                </w:p>
              </w:tc>
              <w:tc>
                <w:tcPr>
                  <w:tcW w:w="2553" w:type="dxa"/>
                  <w:vAlign w:val="center"/>
                </w:tcPr>
                <w:p w14:paraId="056FFFA8" w14:textId="0F21DCAC" w:rsidR="00444CEE" w:rsidRPr="0070122D" w:rsidRDefault="00C27024" w:rsidP="009E6CD2">
                  <w:pPr>
                    <w:rPr>
                      <w:rFonts w:cs="Arial"/>
                      <w:bCs/>
                    </w:rPr>
                  </w:pPr>
                  <w:r w:rsidRPr="0070122D">
                    <w:rPr>
                      <w:rFonts w:cs="Arial"/>
                      <w:bCs/>
                    </w:rPr>
                    <w:t>N/A</w:t>
                  </w:r>
                </w:p>
                <w:p w14:paraId="5E87CE90" w14:textId="02C90046" w:rsidR="00941731" w:rsidRPr="0070122D" w:rsidRDefault="00941731" w:rsidP="009E6CD2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C27024" w:rsidRPr="00941731" w14:paraId="4CFCCB26" w14:textId="77777777" w:rsidTr="000A5E72">
              <w:tc>
                <w:tcPr>
                  <w:tcW w:w="3429" w:type="dxa"/>
                </w:tcPr>
                <w:p w14:paraId="4341CCE9" w14:textId="4118F344" w:rsidR="00C27024" w:rsidRPr="00941731" w:rsidRDefault="00C27024" w:rsidP="009E6CD2">
                  <w:pPr>
                    <w:jc w:val="left"/>
                    <w:rPr>
                      <w:rFonts w:cs="Arial"/>
                    </w:rPr>
                  </w:pPr>
                  <w:r w:rsidRPr="00941731">
                    <w:rPr>
                      <w:rFonts w:cs="Arial"/>
                    </w:rPr>
                    <w:t xml:space="preserve">Equality analysis carried out </w:t>
                  </w:r>
                  <w:r>
                    <w:rPr>
                      <w:rFonts w:cs="Arial"/>
                    </w:rPr>
                    <w:t>through</w:t>
                  </w:r>
                  <w:r w:rsidRPr="00941731">
                    <w:rPr>
                      <w:rFonts w:cs="Arial"/>
                    </w:rPr>
                    <w:t xml:space="preserve"> the intranet</w:t>
                  </w:r>
                  <w:r>
                    <w:rPr>
                      <w:rFonts w:cs="Arial"/>
                    </w:rPr>
                    <w:t xml:space="preserve"> for all new policies or fundamental changes</w:t>
                  </w:r>
                </w:p>
              </w:tc>
              <w:tc>
                <w:tcPr>
                  <w:tcW w:w="3119" w:type="dxa"/>
                  <w:vAlign w:val="center"/>
                </w:tcPr>
                <w:p w14:paraId="4E5ED385" w14:textId="29180E3C" w:rsidR="00C27024" w:rsidRPr="00941731" w:rsidRDefault="00C27024" w:rsidP="009E6CD2">
                  <w:pPr>
                    <w:jc w:val="left"/>
                    <w:rPr>
                      <w:rFonts w:cs="Arial"/>
                    </w:rPr>
                  </w:pPr>
                  <w:r w:rsidRPr="00444CEE">
                    <w:rPr>
                      <w:rFonts w:cs="Arial"/>
                      <w:bCs/>
                    </w:rPr>
                    <w:t>Head of Housing Management</w:t>
                  </w:r>
                  <w:r w:rsidR="00284D1F">
                    <w:rPr>
                      <w:rFonts w:cs="Arial"/>
                      <w:bCs/>
                    </w:rPr>
                    <w:t>/EDI Manager</w:t>
                  </w:r>
                </w:p>
              </w:tc>
              <w:tc>
                <w:tcPr>
                  <w:tcW w:w="2553" w:type="dxa"/>
                  <w:vAlign w:val="center"/>
                </w:tcPr>
                <w:p w14:paraId="34AF903F" w14:textId="77777777" w:rsidR="00C27024" w:rsidRPr="00444CEE" w:rsidRDefault="00C27024" w:rsidP="009E6CD2">
                  <w:pPr>
                    <w:rPr>
                      <w:rFonts w:cs="Arial"/>
                      <w:bCs/>
                    </w:rPr>
                  </w:pPr>
                  <w:r w:rsidRPr="00444CEE">
                    <w:rPr>
                      <w:rFonts w:cs="Arial"/>
                      <w:bCs/>
                    </w:rPr>
                    <w:t>January 2025</w:t>
                  </w:r>
                </w:p>
                <w:p w14:paraId="26E57D18" w14:textId="741C2810" w:rsidR="00C27024" w:rsidRPr="00444CEE" w:rsidRDefault="00C27024" w:rsidP="009E6CD2">
                  <w:pPr>
                    <w:rPr>
                      <w:rFonts w:cs="Arial"/>
                      <w:bCs/>
                    </w:rPr>
                  </w:pPr>
                </w:p>
              </w:tc>
            </w:tr>
          </w:tbl>
          <w:p w14:paraId="67E50A95" w14:textId="77777777" w:rsidR="00D70FE2" w:rsidRPr="00941731" w:rsidRDefault="00D70FE2" w:rsidP="009E6CD2">
            <w:pPr>
              <w:rPr>
                <w:rFonts w:cs="Arial"/>
                <w:b/>
              </w:rPr>
            </w:pPr>
          </w:p>
        </w:tc>
        <w:tc>
          <w:tcPr>
            <w:tcW w:w="1098" w:type="dxa"/>
            <w:vAlign w:val="center"/>
          </w:tcPr>
          <w:p w14:paraId="58D3F25C" w14:textId="35E07D00" w:rsidR="00EB5A58" w:rsidRPr="00941731" w:rsidRDefault="00EB5A58" w:rsidP="009E6CD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86" w:type="dxa"/>
            <w:vAlign w:val="center"/>
          </w:tcPr>
          <w:p w14:paraId="56059367" w14:textId="4475DDE6" w:rsidR="00EB5A58" w:rsidRPr="00941731" w:rsidRDefault="00EB5A58" w:rsidP="009E6CD2">
            <w:pPr>
              <w:jc w:val="center"/>
              <w:rPr>
                <w:rFonts w:cs="Arial"/>
                <w:b/>
              </w:rPr>
            </w:pPr>
          </w:p>
        </w:tc>
      </w:tr>
      <w:tr w:rsidR="00EB5A58" w14:paraId="4BAC9887" w14:textId="77777777" w:rsidTr="00941731">
        <w:trPr>
          <w:trHeight w:val="397"/>
        </w:trPr>
        <w:tc>
          <w:tcPr>
            <w:tcW w:w="7484" w:type="dxa"/>
            <w:vAlign w:val="center"/>
          </w:tcPr>
          <w:p w14:paraId="5D92FE00" w14:textId="77777777" w:rsidR="00941731" w:rsidRDefault="00941731" w:rsidP="009E6CD2">
            <w:pPr>
              <w:rPr>
                <w:rFonts w:cs="Arial"/>
                <w:b/>
              </w:rPr>
            </w:pPr>
          </w:p>
          <w:p w14:paraId="0603CE31" w14:textId="77777777" w:rsidR="00941731" w:rsidRPr="00E02019" w:rsidRDefault="00941731" w:rsidP="009E6CD2">
            <w:pPr>
              <w:jc w:val="left"/>
              <w:rPr>
                <w:rFonts w:cs="Arial"/>
                <w:b/>
                <w:bCs/>
              </w:rPr>
            </w:pPr>
            <w:r w:rsidRPr="00657CD0">
              <w:rPr>
                <w:rFonts w:cs="Arial"/>
                <w:b/>
              </w:rPr>
              <w:t>NB</w:t>
            </w:r>
            <w:r w:rsidRPr="00DB0F88">
              <w:rPr>
                <w:rFonts w:cs="Arial"/>
              </w:rPr>
              <w:t xml:space="preserve">. </w:t>
            </w:r>
            <w:r w:rsidRPr="00E02019">
              <w:rPr>
                <w:rFonts w:cs="Arial"/>
                <w:b/>
                <w:bCs/>
              </w:rPr>
              <w:t xml:space="preserve">The above table must be completed on all occasions. The policy will not be accepted or approved by EMT without this information completed. </w:t>
            </w:r>
          </w:p>
          <w:p w14:paraId="7B500688" w14:textId="77777777" w:rsidR="00E4333F" w:rsidRPr="00752C7C" w:rsidRDefault="00E4333F" w:rsidP="009E6CD2">
            <w:pPr>
              <w:rPr>
                <w:rFonts w:cs="Arial"/>
              </w:rPr>
            </w:pPr>
          </w:p>
        </w:tc>
        <w:tc>
          <w:tcPr>
            <w:tcW w:w="1098" w:type="dxa"/>
            <w:vAlign w:val="center"/>
          </w:tcPr>
          <w:p w14:paraId="481793A8" w14:textId="3248B860" w:rsidR="00EB5A58" w:rsidRDefault="00EB5A58" w:rsidP="009E6CD2">
            <w:pPr>
              <w:jc w:val="center"/>
            </w:pPr>
          </w:p>
        </w:tc>
        <w:tc>
          <w:tcPr>
            <w:tcW w:w="886" w:type="dxa"/>
            <w:vAlign w:val="center"/>
          </w:tcPr>
          <w:p w14:paraId="4B886C39" w14:textId="50F7DEBF" w:rsidR="00EB5A58" w:rsidRDefault="00EB5A58" w:rsidP="009E6CD2">
            <w:pPr>
              <w:jc w:val="center"/>
            </w:pPr>
          </w:p>
        </w:tc>
      </w:tr>
      <w:tr w:rsidR="00AA5C6A" w14:paraId="59302564" w14:textId="77777777" w:rsidTr="00941731">
        <w:trPr>
          <w:trHeight w:val="397"/>
        </w:trPr>
        <w:tc>
          <w:tcPr>
            <w:tcW w:w="7484" w:type="dxa"/>
            <w:vAlign w:val="center"/>
          </w:tcPr>
          <w:p w14:paraId="307838A4" w14:textId="77777777" w:rsidR="00E4333F" w:rsidRPr="00752C7C" w:rsidRDefault="00E4333F" w:rsidP="009E6CD2">
            <w:pPr>
              <w:rPr>
                <w:rFonts w:cs="Arial"/>
              </w:rPr>
            </w:pPr>
          </w:p>
        </w:tc>
        <w:tc>
          <w:tcPr>
            <w:tcW w:w="1098" w:type="dxa"/>
            <w:vAlign w:val="center"/>
          </w:tcPr>
          <w:p w14:paraId="0F21B084" w14:textId="28E7D0F0" w:rsidR="00AA5C6A" w:rsidRDefault="00AA5C6A" w:rsidP="009E6CD2">
            <w:pPr>
              <w:jc w:val="center"/>
            </w:pPr>
          </w:p>
        </w:tc>
        <w:tc>
          <w:tcPr>
            <w:tcW w:w="886" w:type="dxa"/>
            <w:vAlign w:val="center"/>
          </w:tcPr>
          <w:p w14:paraId="1A7D6FA1" w14:textId="7A299937" w:rsidR="00E4333F" w:rsidRDefault="00E4333F" w:rsidP="009E6CD2">
            <w:pPr>
              <w:jc w:val="center"/>
            </w:pPr>
          </w:p>
        </w:tc>
      </w:tr>
      <w:tr w:rsidR="00AA5C6A" w14:paraId="0E0BEEA4" w14:textId="77777777" w:rsidTr="00941731">
        <w:trPr>
          <w:trHeight w:val="397"/>
        </w:trPr>
        <w:tc>
          <w:tcPr>
            <w:tcW w:w="7484" w:type="dxa"/>
            <w:vAlign w:val="center"/>
          </w:tcPr>
          <w:p w14:paraId="05DEBA3F" w14:textId="77777777" w:rsidR="00D70FE2" w:rsidRDefault="00D70FE2" w:rsidP="009E6CD2">
            <w:pPr>
              <w:rPr>
                <w:rFonts w:cs="Arial"/>
              </w:rPr>
            </w:pPr>
          </w:p>
          <w:p w14:paraId="4C9BB22B" w14:textId="77777777" w:rsidR="00941731" w:rsidRDefault="00941731" w:rsidP="009E6CD2">
            <w:pPr>
              <w:rPr>
                <w:rFonts w:cs="Arial"/>
              </w:rPr>
            </w:pPr>
          </w:p>
          <w:p w14:paraId="0C0EE6B4" w14:textId="7AF00B53" w:rsidR="00941731" w:rsidRDefault="00941731" w:rsidP="009E6CD2">
            <w:pPr>
              <w:rPr>
                <w:rFonts w:cs="Arial"/>
              </w:rPr>
            </w:pPr>
          </w:p>
          <w:p w14:paraId="65EF5CEC" w14:textId="2ACCA79F" w:rsidR="000A5E72" w:rsidRDefault="000A5E72" w:rsidP="009E6CD2">
            <w:pPr>
              <w:rPr>
                <w:rFonts w:cs="Arial"/>
              </w:rPr>
            </w:pPr>
          </w:p>
          <w:p w14:paraId="08474918" w14:textId="31CBD864" w:rsidR="000A5E72" w:rsidRDefault="000A5E72" w:rsidP="009E6CD2">
            <w:pPr>
              <w:rPr>
                <w:rFonts w:cs="Arial"/>
              </w:rPr>
            </w:pPr>
          </w:p>
          <w:p w14:paraId="7439306B" w14:textId="51036CA2" w:rsidR="000A5E72" w:rsidRDefault="000A5E72" w:rsidP="009E6CD2">
            <w:pPr>
              <w:rPr>
                <w:rFonts w:cs="Arial"/>
              </w:rPr>
            </w:pPr>
          </w:p>
          <w:p w14:paraId="0B6B751F" w14:textId="3478D9D0" w:rsidR="000A5E72" w:rsidRDefault="000A5E72" w:rsidP="009E6CD2">
            <w:pPr>
              <w:rPr>
                <w:rFonts w:cs="Arial"/>
              </w:rPr>
            </w:pPr>
          </w:p>
          <w:p w14:paraId="1B48D935" w14:textId="54C17528" w:rsidR="000A5E72" w:rsidRDefault="000A5E72" w:rsidP="009E6CD2">
            <w:pPr>
              <w:rPr>
                <w:rFonts w:cs="Arial"/>
              </w:rPr>
            </w:pPr>
          </w:p>
          <w:p w14:paraId="1CB8747F" w14:textId="6B59F45E" w:rsidR="000A5E72" w:rsidRDefault="000A5E72" w:rsidP="009E6CD2">
            <w:pPr>
              <w:rPr>
                <w:rFonts w:cs="Arial"/>
              </w:rPr>
            </w:pPr>
          </w:p>
          <w:p w14:paraId="750097E1" w14:textId="32CF9BEF" w:rsidR="000A5E72" w:rsidRDefault="000A5E72" w:rsidP="009E6CD2">
            <w:pPr>
              <w:rPr>
                <w:rFonts w:cs="Arial"/>
              </w:rPr>
            </w:pPr>
          </w:p>
          <w:p w14:paraId="619DE9C7" w14:textId="021E5BDA" w:rsidR="000A5E72" w:rsidRDefault="000A5E72" w:rsidP="009E6CD2">
            <w:pPr>
              <w:rPr>
                <w:rFonts w:cs="Arial"/>
              </w:rPr>
            </w:pPr>
          </w:p>
          <w:p w14:paraId="61B66487" w14:textId="2D3B80F0" w:rsidR="000A5E72" w:rsidRDefault="000A5E72" w:rsidP="009E6CD2">
            <w:pPr>
              <w:rPr>
                <w:rFonts w:cs="Arial"/>
              </w:rPr>
            </w:pPr>
          </w:p>
          <w:p w14:paraId="5ECE4543" w14:textId="77777777" w:rsidR="000A5E72" w:rsidRDefault="000A5E72" w:rsidP="009E6CD2">
            <w:pPr>
              <w:rPr>
                <w:rFonts w:cs="Arial"/>
              </w:rPr>
            </w:pPr>
          </w:p>
          <w:p w14:paraId="42E9D01B" w14:textId="77777777" w:rsidR="00941731" w:rsidRPr="00752C7C" w:rsidRDefault="00941731" w:rsidP="009E6CD2">
            <w:pPr>
              <w:rPr>
                <w:rFonts w:cs="Arial"/>
              </w:rPr>
            </w:pPr>
          </w:p>
        </w:tc>
        <w:tc>
          <w:tcPr>
            <w:tcW w:w="1098" w:type="dxa"/>
            <w:vAlign w:val="center"/>
          </w:tcPr>
          <w:p w14:paraId="1EE1622B" w14:textId="15534378" w:rsidR="00AA5C6A" w:rsidRDefault="00AA5C6A" w:rsidP="009E6CD2">
            <w:pPr>
              <w:jc w:val="center"/>
            </w:pPr>
          </w:p>
        </w:tc>
        <w:tc>
          <w:tcPr>
            <w:tcW w:w="886" w:type="dxa"/>
            <w:vAlign w:val="center"/>
          </w:tcPr>
          <w:p w14:paraId="477FD49A" w14:textId="77777777" w:rsidR="00AA5C6A" w:rsidRDefault="00AA5C6A" w:rsidP="009E6CD2">
            <w:pPr>
              <w:jc w:val="center"/>
            </w:pPr>
          </w:p>
        </w:tc>
      </w:tr>
      <w:tr w:rsidR="00DB0F88" w14:paraId="459C1D2B" w14:textId="77777777" w:rsidTr="00941731">
        <w:trPr>
          <w:trHeight w:val="397"/>
        </w:trPr>
        <w:tc>
          <w:tcPr>
            <w:tcW w:w="7484" w:type="dxa"/>
            <w:vAlign w:val="center"/>
          </w:tcPr>
          <w:p w14:paraId="7ACEC31F" w14:textId="128BC953" w:rsidR="00DB0F88" w:rsidRPr="00752C7C" w:rsidRDefault="00DB0F88" w:rsidP="009E6CD2">
            <w:pPr>
              <w:rPr>
                <w:rFonts w:cs="Arial"/>
              </w:rPr>
            </w:pPr>
          </w:p>
        </w:tc>
        <w:tc>
          <w:tcPr>
            <w:tcW w:w="1098" w:type="dxa"/>
            <w:vAlign w:val="center"/>
          </w:tcPr>
          <w:p w14:paraId="69206948" w14:textId="0B27D7BB" w:rsidR="00DB0F88" w:rsidRDefault="00DB0F88" w:rsidP="009E6CD2">
            <w:pPr>
              <w:jc w:val="center"/>
            </w:pPr>
          </w:p>
        </w:tc>
        <w:tc>
          <w:tcPr>
            <w:tcW w:w="886" w:type="dxa"/>
            <w:vAlign w:val="center"/>
          </w:tcPr>
          <w:p w14:paraId="1B73D416" w14:textId="77777777" w:rsidR="00DB0F88" w:rsidRDefault="00DB0F88" w:rsidP="009E6CD2">
            <w:pPr>
              <w:jc w:val="center"/>
            </w:pPr>
          </w:p>
        </w:tc>
      </w:tr>
    </w:tbl>
    <w:p w14:paraId="24716BBE" w14:textId="77777777" w:rsidR="00EB5A58" w:rsidRDefault="00EB5A58" w:rsidP="009E6CD2"/>
    <w:p w14:paraId="2E3F2919" w14:textId="6D4BFE25" w:rsidR="00EB5A58" w:rsidRDefault="00453BC5" w:rsidP="009E6CD2">
      <w:r>
        <w:rPr>
          <w:noProof/>
          <w:lang w:eastAsia="en-GB"/>
        </w:rPr>
        <w:lastRenderedPageBreak/>
        <w:drawing>
          <wp:anchor distT="0" distB="0" distL="114300" distR="114300" simplePos="0" relativeHeight="251658241" behindDoc="0" locked="0" layoutInCell="1" allowOverlap="1" wp14:anchorId="270A5D86" wp14:editId="381FB21B">
            <wp:simplePos x="0" y="0"/>
            <wp:positionH relativeFrom="column">
              <wp:posOffset>-196850</wp:posOffset>
            </wp:positionH>
            <wp:positionV relativeFrom="paragraph">
              <wp:posOffset>0</wp:posOffset>
            </wp:positionV>
            <wp:extent cx="1549400" cy="1445260"/>
            <wp:effectExtent l="0" t="0" r="0" b="2540"/>
            <wp:wrapSquare wrapText="bothSides"/>
            <wp:docPr id="1" name="Picture 1" descr="S:\SLHD_BAT\10. Random Docs\COLOUR SL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:\SLHD_BAT\10. Random Docs\COLOUR SLHD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86C17" w14:textId="77777777" w:rsidR="00EB5A58" w:rsidRDefault="00EB5A58" w:rsidP="009E6CD2"/>
    <w:p w14:paraId="075663FD" w14:textId="77656FCB" w:rsidR="00444CEE" w:rsidRPr="000A5E72" w:rsidRDefault="00444CEE" w:rsidP="009E6CD2">
      <w:pPr>
        <w:pStyle w:val="Title"/>
        <w:jc w:val="center"/>
        <w:rPr>
          <w:sz w:val="32"/>
          <w:szCs w:val="32"/>
        </w:rPr>
      </w:pPr>
      <w:r>
        <w:t xml:space="preserve">VULNERABLE PERSONS </w:t>
      </w:r>
      <w:r w:rsidR="00453BC5">
        <w:t>P</w:t>
      </w:r>
      <w:r>
        <w:t xml:space="preserve">OLICY: </w:t>
      </w:r>
      <w:r w:rsidRPr="00444CEE">
        <w:rPr>
          <w:i/>
          <w:iCs/>
        </w:rPr>
        <w:t xml:space="preserve">Help when you Need </w:t>
      </w:r>
      <w:r w:rsidR="00851122" w:rsidRPr="00444CEE">
        <w:rPr>
          <w:i/>
          <w:iCs/>
        </w:rPr>
        <w:t>it.</w:t>
      </w:r>
    </w:p>
    <w:p w14:paraId="0DCC453D" w14:textId="18468F38" w:rsidR="00112C58" w:rsidRPr="000A5E72" w:rsidRDefault="00112C58" w:rsidP="009E6CD2">
      <w:pPr>
        <w:pStyle w:val="Title"/>
        <w:jc w:val="left"/>
        <w:rPr>
          <w:sz w:val="32"/>
          <w:szCs w:val="32"/>
        </w:rPr>
      </w:pPr>
    </w:p>
    <w:p w14:paraId="00F7B66C" w14:textId="77777777" w:rsidR="00657CD0" w:rsidRPr="00813D36" w:rsidRDefault="00657CD0" w:rsidP="009E6CD2">
      <w:pPr>
        <w:rPr>
          <w:b/>
          <w:bCs/>
          <w:sz w:val="28"/>
          <w:szCs w:val="28"/>
        </w:rPr>
      </w:pPr>
    </w:p>
    <w:p w14:paraId="2C291852" w14:textId="00996617" w:rsidR="002622EC" w:rsidRPr="003A2D02" w:rsidRDefault="009C2857" w:rsidP="00D344F7">
      <w:pPr>
        <w:pStyle w:val="ListParagraph"/>
        <w:numPr>
          <w:ilvl w:val="0"/>
          <w:numId w:val="7"/>
        </w:numPr>
        <w:ind w:left="709" w:hanging="709"/>
        <w:jc w:val="left"/>
        <w:rPr>
          <w:rFonts w:cs="Arial"/>
        </w:rPr>
      </w:pPr>
      <w:r w:rsidRPr="003A2D02">
        <w:rPr>
          <w:rFonts w:cs="Arial"/>
          <w:b/>
          <w:bCs/>
        </w:rPr>
        <w:t xml:space="preserve">Introduction </w:t>
      </w:r>
    </w:p>
    <w:p w14:paraId="1E81BBC5" w14:textId="77777777" w:rsidR="003A2D02" w:rsidRPr="003A2D02" w:rsidRDefault="003A2D02" w:rsidP="003A2D02">
      <w:pPr>
        <w:pStyle w:val="ListParagraph"/>
        <w:ind w:left="709"/>
        <w:jc w:val="left"/>
        <w:rPr>
          <w:rFonts w:cs="Arial"/>
        </w:rPr>
      </w:pPr>
    </w:p>
    <w:p w14:paraId="053C6AB6" w14:textId="2B150760" w:rsidR="009E6CD2" w:rsidRPr="00E04519" w:rsidRDefault="002622EC" w:rsidP="00D344F7">
      <w:pPr>
        <w:pStyle w:val="ListParagraph"/>
        <w:numPr>
          <w:ilvl w:val="1"/>
          <w:numId w:val="4"/>
        </w:numPr>
        <w:ind w:left="709" w:hanging="709"/>
        <w:rPr>
          <w:rFonts w:cs="Arial"/>
        </w:rPr>
      </w:pPr>
      <w:r w:rsidRPr="00DC2253">
        <w:rPr>
          <w:rFonts w:cs="Arial"/>
        </w:rPr>
        <w:t>This policy outlines</w:t>
      </w:r>
      <w:r w:rsidR="00E80BF3">
        <w:rPr>
          <w:rFonts w:cs="Arial"/>
        </w:rPr>
        <w:t xml:space="preserve"> our</w:t>
      </w:r>
      <w:r w:rsidRPr="00DC2253">
        <w:rPr>
          <w:rFonts w:cs="Arial"/>
        </w:rPr>
        <w:t xml:space="preserve"> commitment to support </w:t>
      </w:r>
      <w:r w:rsidR="003A2D02">
        <w:rPr>
          <w:rFonts w:cs="Arial"/>
        </w:rPr>
        <w:t xml:space="preserve">vulnerable </w:t>
      </w:r>
      <w:r w:rsidRPr="00DC2253">
        <w:rPr>
          <w:rFonts w:cs="Arial"/>
        </w:rPr>
        <w:t xml:space="preserve">customers </w:t>
      </w:r>
      <w:r w:rsidR="003A2D02">
        <w:rPr>
          <w:rFonts w:cs="Arial"/>
        </w:rPr>
        <w:t>to a</w:t>
      </w:r>
      <w:r w:rsidR="00444CEE" w:rsidRPr="00DC2253">
        <w:rPr>
          <w:rFonts w:cs="Arial"/>
        </w:rPr>
        <w:t>ccess</w:t>
      </w:r>
      <w:r w:rsidRPr="00DC2253">
        <w:rPr>
          <w:rFonts w:cs="Arial"/>
        </w:rPr>
        <w:t xml:space="preserve"> our services</w:t>
      </w:r>
      <w:r w:rsidR="00E04519">
        <w:rPr>
          <w:rFonts w:cs="Arial"/>
        </w:rPr>
        <w:t xml:space="preserve"> and </w:t>
      </w:r>
      <w:r w:rsidRPr="00E04519">
        <w:rPr>
          <w:rFonts w:cs="Arial"/>
        </w:rPr>
        <w:t>support</w:t>
      </w:r>
      <w:r w:rsidR="00444CEE" w:rsidRPr="00E04519">
        <w:rPr>
          <w:rFonts w:cs="Arial"/>
        </w:rPr>
        <w:t>s</w:t>
      </w:r>
      <w:r w:rsidRPr="00E04519">
        <w:rPr>
          <w:rFonts w:cs="Arial"/>
        </w:rPr>
        <w:t xml:space="preserve"> the </w:t>
      </w:r>
      <w:r w:rsidR="00E04519" w:rsidRPr="00E04519">
        <w:rPr>
          <w:rFonts w:cs="Arial"/>
        </w:rPr>
        <w:t xml:space="preserve">priorities contained in </w:t>
      </w:r>
      <w:r w:rsidR="0035618B">
        <w:rPr>
          <w:rFonts w:cs="Arial"/>
        </w:rPr>
        <w:t xml:space="preserve">St Leger </w:t>
      </w:r>
      <w:r w:rsidR="00851122">
        <w:rPr>
          <w:rFonts w:cs="Arial"/>
        </w:rPr>
        <w:t>Homes</w:t>
      </w:r>
      <w:r w:rsidR="00477A27">
        <w:rPr>
          <w:rFonts w:cs="Arial"/>
        </w:rPr>
        <w:t>’</w:t>
      </w:r>
      <w:r w:rsidR="00851122">
        <w:rPr>
          <w:rFonts w:cs="Arial"/>
        </w:rPr>
        <w:t xml:space="preserve"> </w:t>
      </w:r>
      <w:r w:rsidR="00851122" w:rsidRPr="00E04519">
        <w:rPr>
          <w:rFonts w:cs="Arial"/>
        </w:rPr>
        <w:t>Corporate</w:t>
      </w:r>
      <w:r w:rsidRPr="00E04519">
        <w:rPr>
          <w:rFonts w:cs="Arial"/>
        </w:rPr>
        <w:t xml:space="preserve"> </w:t>
      </w:r>
      <w:r w:rsidR="00477A27">
        <w:rPr>
          <w:rFonts w:cs="Arial"/>
        </w:rPr>
        <w:t>P</w:t>
      </w:r>
      <w:r w:rsidR="00477A27" w:rsidRPr="00E04519">
        <w:rPr>
          <w:rFonts w:cs="Arial"/>
        </w:rPr>
        <w:t xml:space="preserve">lan </w:t>
      </w:r>
      <w:r w:rsidR="00E04519" w:rsidRPr="00E04519">
        <w:rPr>
          <w:rFonts w:cs="Arial"/>
        </w:rPr>
        <w:t>2024-2029.</w:t>
      </w:r>
    </w:p>
    <w:p w14:paraId="3BD6B2EC" w14:textId="77777777" w:rsidR="009E6CD2" w:rsidRDefault="009E6CD2" w:rsidP="00195A16">
      <w:pPr>
        <w:pStyle w:val="ListParagraph"/>
        <w:ind w:left="709" w:hanging="709"/>
        <w:rPr>
          <w:rFonts w:cs="Arial"/>
          <w:b/>
          <w:bCs/>
        </w:rPr>
      </w:pPr>
    </w:p>
    <w:p w14:paraId="7DDEC451" w14:textId="1BB779B2" w:rsidR="009E6CD2" w:rsidRPr="009E6CD2" w:rsidRDefault="002622EC" w:rsidP="00D344F7">
      <w:pPr>
        <w:pStyle w:val="ListParagraph"/>
        <w:numPr>
          <w:ilvl w:val="1"/>
          <w:numId w:val="4"/>
        </w:numPr>
        <w:ind w:left="709" w:hanging="709"/>
        <w:rPr>
          <w:rFonts w:cs="Arial"/>
          <w:b/>
          <w:bCs/>
        </w:rPr>
      </w:pPr>
      <w:r w:rsidRPr="009E6CD2">
        <w:rPr>
          <w:rFonts w:cs="Arial"/>
        </w:rPr>
        <w:t xml:space="preserve">We recognise that </w:t>
      </w:r>
      <w:r w:rsidR="005E0C48">
        <w:rPr>
          <w:rFonts w:cs="Arial"/>
        </w:rPr>
        <w:t>customers</w:t>
      </w:r>
      <w:r w:rsidRPr="009E6CD2">
        <w:rPr>
          <w:rFonts w:cs="Arial"/>
        </w:rPr>
        <w:t xml:space="preserve"> </w:t>
      </w:r>
      <w:r w:rsidR="00B2696D">
        <w:rPr>
          <w:rFonts w:cs="Arial"/>
        </w:rPr>
        <w:t>can</w:t>
      </w:r>
      <w:r w:rsidRPr="009E6CD2">
        <w:rPr>
          <w:rFonts w:cs="Arial"/>
        </w:rPr>
        <w:t xml:space="preserve"> become vulnerable at various </w:t>
      </w:r>
      <w:r w:rsidR="005E0C48">
        <w:rPr>
          <w:rFonts w:cs="Arial"/>
        </w:rPr>
        <w:t>points</w:t>
      </w:r>
      <w:r w:rsidRPr="009E6CD2">
        <w:rPr>
          <w:rFonts w:cs="Arial"/>
        </w:rPr>
        <w:t xml:space="preserve"> in </w:t>
      </w:r>
      <w:r w:rsidR="005E0C48" w:rsidRPr="009E6CD2">
        <w:rPr>
          <w:rFonts w:cs="Arial"/>
        </w:rPr>
        <w:t>their life</w:t>
      </w:r>
      <w:r w:rsidRPr="009E6CD2">
        <w:rPr>
          <w:rFonts w:cs="Arial"/>
        </w:rPr>
        <w:t xml:space="preserve"> and at such times, we </w:t>
      </w:r>
      <w:r w:rsidR="005E0C48">
        <w:rPr>
          <w:rFonts w:cs="Arial"/>
        </w:rPr>
        <w:t xml:space="preserve">may </w:t>
      </w:r>
      <w:r w:rsidRPr="009E6CD2">
        <w:rPr>
          <w:rFonts w:cs="Arial"/>
        </w:rPr>
        <w:t xml:space="preserve">need to </w:t>
      </w:r>
      <w:r w:rsidR="004C32C3" w:rsidRPr="009E6CD2">
        <w:rPr>
          <w:rFonts w:cs="Arial"/>
        </w:rPr>
        <w:t>consider reasonable adjustments</w:t>
      </w:r>
      <w:r w:rsidR="005E0C48">
        <w:rPr>
          <w:rFonts w:cs="Arial"/>
        </w:rPr>
        <w:t xml:space="preserve"> </w:t>
      </w:r>
      <w:r w:rsidR="004C32C3" w:rsidRPr="009E6CD2">
        <w:rPr>
          <w:rFonts w:cs="Arial"/>
        </w:rPr>
        <w:t>to how we usually deliver our services</w:t>
      </w:r>
      <w:r w:rsidR="005E0C48">
        <w:rPr>
          <w:rFonts w:cs="Arial"/>
        </w:rPr>
        <w:t xml:space="preserve">, </w:t>
      </w:r>
      <w:r w:rsidR="00B2696D">
        <w:rPr>
          <w:rFonts w:cs="Arial"/>
        </w:rPr>
        <w:t>ensuring</w:t>
      </w:r>
      <w:r w:rsidR="005E0C48">
        <w:rPr>
          <w:rFonts w:cs="Arial"/>
        </w:rPr>
        <w:t xml:space="preserve"> equitable and appropriate access</w:t>
      </w:r>
      <w:r w:rsidR="004C32C3" w:rsidRPr="009E6CD2">
        <w:rPr>
          <w:rFonts w:cs="Arial"/>
        </w:rPr>
        <w:t>.</w:t>
      </w:r>
    </w:p>
    <w:p w14:paraId="661E44AB" w14:textId="77777777" w:rsidR="009E6CD2" w:rsidRPr="009E6CD2" w:rsidRDefault="009E6CD2" w:rsidP="00195A16">
      <w:pPr>
        <w:pStyle w:val="ListParagraph"/>
        <w:ind w:left="709" w:hanging="709"/>
        <w:rPr>
          <w:rFonts w:cs="Arial"/>
        </w:rPr>
      </w:pPr>
    </w:p>
    <w:p w14:paraId="26BF1C20" w14:textId="12E51760" w:rsidR="009E6CD2" w:rsidRPr="009E6CD2" w:rsidRDefault="004C32C3" w:rsidP="00D344F7">
      <w:pPr>
        <w:pStyle w:val="ListParagraph"/>
        <w:numPr>
          <w:ilvl w:val="1"/>
          <w:numId w:val="4"/>
        </w:numPr>
        <w:ind w:left="709" w:hanging="709"/>
        <w:rPr>
          <w:rFonts w:cs="Arial"/>
          <w:b/>
          <w:bCs/>
        </w:rPr>
      </w:pPr>
      <w:r w:rsidRPr="009E6CD2">
        <w:rPr>
          <w:rFonts w:cs="Arial"/>
        </w:rPr>
        <w:t xml:space="preserve">This might also include </w:t>
      </w:r>
      <w:r w:rsidR="002622EC" w:rsidRPr="009E6CD2">
        <w:rPr>
          <w:rFonts w:cs="Arial"/>
        </w:rPr>
        <w:t>provid</w:t>
      </w:r>
      <w:r w:rsidRPr="009E6CD2">
        <w:rPr>
          <w:rFonts w:cs="Arial"/>
        </w:rPr>
        <w:t>ing</w:t>
      </w:r>
      <w:r w:rsidR="00AA30FE" w:rsidRPr="009E6CD2">
        <w:rPr>
          <w:rFonts w:cs="Arial"/>
        </w:rPr>
        <w:t xml:space="preserve"> direct support </w:t>
      </w:r>
      <w:r w:rsidR="005E0C48">
        <w:rPr>
          <w:rFonts w:cs="Arial"/>
        </w:rPr>
        <w:t xml:space="preserve">to customers </w:t>
      </w:r>
      <w:r w:rsidR="002622EC" w:rsidRPr="009E6CD2">
        <w:rPr>
          <w:rFonts w:cs="Arial"/>
        </w:rPr>
        <w:t xml:space="preserve">or </w:t>
      </w:r>
      <w:r w:rsidRPr="009E6CD2">
        <w:rPr>
          <w:rFonts w:cs="Arial"/>
        </w:rPr>
        <w:t xml:space="preserve">referring </w:t>
      </w:r>
      <w:r w:rsidR="00E80BF3">
        <w:rPr>
          <w:rFonts w:cs="Arial"/>
        </w:rPr>
        <w:t xml:space="preserve">them </w:t>
      </w:r>
      <w:r w:rsidR="002622EC" w:rsidRPr="009E6CD2">
        <w:rPr>
          <w:rFonts w:cs="Arial"/>
        </w:rPr>
        <w:t>to specialis</w:t>
      </w:r>
      <w:r w:rsidR="00AA30FE" w:rsidRPr="009E6CD2">
        <w:rPr>
          <w:rFonts w:cs="Arial"/>
        </w:rPr>
        <w:t>t</w:t>
      </w:r>
      <w:r w:rsidR="002622EC" w:rsidRPr="009E6CD2">
        <w:rPr>
          <w:rFonts w:cs="Arial"/>
        </w:rPr>
        <w:t xml:space="preserve"> </w:t>
      </w:r>
      <w:r w:rsidR="00AA30FE" w:rsidRPr="009E6CD2">
        <w:rPr>
          <w:rFonts w:cs="Arial"/>
        </w:rPr>
        <w:t>agencies</w:t>
      </w:r>
      <w:r w:rsidR="002622EC" w:rsidRPr="009E6CD2">
        <w:rPr>
          <w:rFonts w:cs="Arial"/>
        </w:rPr>
        <w:t xml:space="preserve"> to ensure </w:t>
      </w:r>
      <w:r w:rsidR="005E0C48">
        <w:rPr>
          <w:rFonts w:cs="Arial"/>
        </w:rPr>
        <w:t xml:space="preserve">the best </w:t>
      </w:r>
      <w:r w:rsidR="002622EC" w:rsidRPr="009E6CD2">
        <w:rPr>
          <w:rFonts w:cs="Arial"/>
        </w:rPr>
        <w:t>help</w:t>
      </w:r>
      <w:r w:rsidR="005E0C48">
        <w:rPr>
          <w:rFonts w:cs="Arial"/>
        </w:rPr>
        <w:t xml:space="preserve"> is received when</w:t>
      </w:r>
      <w:r w:rsidRPr="009E6CD2">
        <w:rPr>
          <w:rFonts w:cs="Arial"/>
        </w:rPr>
        <w:t xml:space="preserve"> they</w:t>
      </w:r>
      <w:r w:rsidR="002622EC" w:rsidRPr="009E6CD2">
        <w:rPr>
          <w:rFonts w:cs="Arial"/>
        </w:rPr>
        <w:t xml:space="preserve"> need</w:t>
      </w:r>
      <w:r w:rsidR="00E80BF3">
        <w:rPr>
          <w:rFonts w:cs="Arial"/>
        </w:rPr>
        <w:t xml:space="preserve"> it.</w:t>
      </w:r>
      <w:r w:rsidRPr="009E6CD2">
        <w:rPr>
          <w:rFonts w:cs="Arial"/>
        </w:rPr>
        <w:t xml:space="preserve"> </w:t>
      </w:r>
      <w:r w:rsidR="00E80BF3">
        <w:rPr>
          <w:rFonts w:cs="Arial"/>
        </w:rPr>
        <w:t xml:space="preserve"> </w:t>
      </w:r>
      <w:r w:rsidRPr="009E6CD2">
        <w:rPr>
          <w:rFonts w:cs="Arial"/>
        </w:rPr>
        <w:t>We will</w:t>
      </w:r>
      <w:r w:rsidR="002622EC" w:rsidRPr="009E6CD2">
        <w:rPr>
          <w:rFonts w:cs="Arial"/>
        </w:rPr>
        <w:t xml:space="preserve"> ensure consistency </w:t>
      </w:r>
      <w:r w:rsidR="00AA30FE" w:rsidRPr="009E6CD2">
        <w:rPr>
          <w:rFonts w:cs="Arial"/>
        </w:rPr>
        <w:t xml:space="preserve">to our customers </w:t>
      </w:r>
      <w:r w:rsidR="002622EC" w:rsidRPr="009E6CD2">
        <w:rPr>
          <w:rFonts w:cs="Arial"/>
        </w:rPr>
        <w:t>by equipping staff with</w:t>
      </w:r>
      <w:r w:rsidR="00AA30FE" w:rsidRPr="009E6CD2">
        <w:rPr>
          <w:rFonts w:cs="Arial"/>
        </w:rPr>
        <w:t xml:space="preserve"> training and</w:t>
      </w:r>
      <w:r w:rsidR="002622EC" w:rsidRPr="009E6CD2">
        <w:rPr>
          <w:rFonts w:cs="Arial"/>
        </w:rPr>
        <w:t xml:space="preserve"> </w:t>
      </w:r>
      <w:r w:rsidR="00813D36" w:rsidRPr="009E6CD2">
        <w:rPr>
          <w:rFonts w:cs="Arial"/>
        </w:rPr>
        <w:t>information,</w:t>
      </w:r>
      <w:r w:rsidR="002622EC" w:rsidRPr="009E6CD2">
        <w:rPr>
          <w:rFonts w:cs="Arial"/>
        </w:rPr>
        <w:t xml:space="preserve"> </w:t>
      </w:r>
      <w:r w:rsidR="00B2696D">
        <w:rPr>
          <w:rFonts w:cs="Arial"/>
        </w:rPr>
        <w:t>so they</w:t>
      </w:r>
      <w:r w:rsidR="002622EC" w:rsidRPr="009E6CD2">
        <w:rPr>
          <w:rFonts w:cs="Arial"/>
        </w:rPr>
        <w:t xml:space="preserve"> effectively identify and respond to </w:t>
      </w:r>
      <w:r w:rsidRPr="009E6CD2">
        <w:rPr>
          <w:rFonts w:cs="Arial"/>
        </w:rPr>
        <w:t>customers</w:t>
      </w:r>
      <w:r w:rsidR="00E80BF3">
        <w:rPr>
          <w:rFonts w:cs="Arial"/>
        </w:rPr>
        <w:t>’</w:t>
      </w:r>
      <w:r w:rsidR="002622EC" w:rsidRPr="009E6CD2">
        <w:rPr>
          <w:rFonts w:cs="Arial"/>
        </w:rPr>
        <w:t xml:space="preserve"> needs.</w:t>
      </w:r>
    </w:p>
    <w:p w14:paraId="0CA6CDB9" w14:textId="77777777" w:rsidR="009E6CD2" w:rsidRPr="009E6CD2" w:rsidRDefault="009E6CD2" w:rsidP="00195A16">
      <w:pPr>
        <w:pStyle w:val="ListParagraph"/>
        <w:ind w:left="709" w:hanging="709"/>
        <w:rPr>
          <w:rFonts w:cs="Arial"/>
        </w:rPr>
      </w:pPr>
    </w:p>
    <w:p w14:paraId="4767D3AF" w14:textId="0FA80247" w:rsidR="00913701" w:rsidRPr="009E6CD2" w:rsidRDefault="00913701" w:rsidP="00D344F7">
      <w:pPr>
        <w:pStyle w:val="ListParagraph"/>
        <w:numPr>
          <w:ilvl w:val="1"/>
          <w:numId w:val="4"/>
        </w:numPr>
        <w:ind w:left="709" w:hanging="709"/>
        <w:rPr>
          <w:rFonts w:cs="Arial"/>
          <w:b/>
          <w:bCs/>
        </w:rPr>
      </w:pPr>
      <w:r w:rsidRPr="009E6CD2">
        <w:rPr>
          <w:rFonts w:cs="Arial"/>
        </w:rPr>
        <w:t xml:space="preserve">This policy focuses on </w:t>
      </w:r>
      <w:r w:rsidR="004C32C3" w:rsidRPr="009E6CD2">
        <w:rPr>
          <w:rFonts w:cs="Arial"/>
        </w:rPr>
        <w:t>customers</w:t>
      </w:r>
      <w:r w:rsidRPr="009E6CD2">
        <w:rPr>
          <w:rFonts w:cs="Arial"/>
        </w:rPr>
        <w:t xml:space="preserve"> who may be vulnerable but have the </w:t>
      </w:r>
      <w:r w:rsidR="004C32C3" w:rsidRPr="009E6CD2">
        <w:rPr>
          <w:rFonts w:cs="Arial"/>
        </w:rPr>
        <w:t xml:space="preserve">mental </w:t>
      </w:r>
      <w:r w:rsidRPr="009E6CD2">
        <w:rPr>
          <w:rFonts w:cs="Arial"/>
        </w:rPr>
        <w:t>capacity to make their own decisions</w:t>
      </w:r>
      <w:r w:rsidR="00B2696D">
        <w:rPr>
          <w:rFonts w:cs="Arial"/>
        </w:rPr>
        <w:t>.  Where this is not the case</w:t>
      </w:r>
      <w:r w:rsidRPr="009E6CD2">
        <w:rPr>
          <w:rFonts w:cs="Arial"/>
        </w:rPr>
        <w:t>, we will collaborate with their appointed representative</w:t>
      </w:r>
      <w:r w:rsidR="0035618B">
        <w:rPr>
          <w:rFonts w:cs="Arial"/>
        </w:rPr>
        <w:t xml:space="preserve"> or statutory agencies</w:t>
      </w:r>
      <w:r w:rsidRPr="009E6CD2">
        <w:rPr>
          <w:rFonts w:cs="Arial"/>
        </w:rPr>
        <w:t>.</w:t>
      </w:r>
    </w:p>
    <w:p w14:paraId="7B87C502" w14:textId="77777777" w:rsidR="00813D36" w:rsidRDefault="00813D36" w:rsidP="00813D36">
      <w:pPr>
        <w:pStyle w:val="ListParagraph"/>
        <w:ind w:left="709"/>
        <w:jc w:val="left"/>
        <w:rPr>
          <w:b/>
          <w:bCs/>
        </w:rPr>
      </w:pPr>
    </w:p>
    <w:p w14:paraId="0D987DD3" w14:textId="1980C163" w:rsidR="009C2857" w:rsidRDefault="009C2857" w:rsidP="00D344F7">
      <w:pPr>
        <w:pStyle w:val="ListParagraph"/>
        <w:numPr>
          <w:ilvl w:val="0"/>
          <w:numId w:val="4"/>
        </w:numPr>
        <w:ind w:left="709" w:hanging="709"/>
        <w:jc w:val="left"/>
        <w:rPr>
          <w:b/>
          <w:bCs/>
        </w:rPr>
      </w:pPr>
      <w:r w:rsidRPr="00F31A75">
        <w:rPr>
          <w:b/>
          <w:bCs/>
        </w:rPr>
        <w:t>Purpose</w:t>
      </w:r>
      <w:r w:rsidR="00913701" w:rsidRPr="00F31A75">
        <w:rPr>
          <w:b/>
          <w:bCs/>
        </w:rPr>
        <w:t xml:space="preserve"> and Scope</w:t>
      </w:r>
    </w:p>
    <w:p w14:paraId="6C909E81" w14:textId="77777777" w:rsidR="009E6CD2" w:rsidRPr="00F31A75" w:rsidRDefault="009E6CD2" w:rsidP="009E6CD2">
      <w:pPr>
        <w:pStyle w:val="ListParagraph"/>
        <w:ind w:left="709"/>
        <w:jc w:val="left"/>
        <w:rPr>
          <w:b/>
          <w:bCs/>
        </w:rPr>
      </w:pPr>
    </w:p>
    <w:p w14:paraId="0AC4F754" w14:textId="1D43E9C7" w:rsidR="00ED0397" w:rsidRDefault="00453BC5" w:rsidP="009E6CD2">
      <w:pPr>
        <w:ind w:left="709" w:hanging="709"/>
        <w:jc w:val="left"/>
      </w:pPr>
      <w:r>
        <w:t>2.1</w:t>
      </w:r>
      <w:r>
        <w:tab/>
      </w:r>
      <w:r w:rsidR="00ED0397">
        <w:t xml:space="preserve">This policy applies to all Employees, Contractors, Board Members and St </w:t>
      </w:r>
    </w:p>
    <w:p w14:paraId="0E68832D" w14:textId="41511002" w:rsidR="00ED0397" w:rsidRDefault="00ED0397" w:rsidP="00D25208">
      <w:pPr>
        <w:ind w:left="709"/>
      </w:pPr>
      <w:r>
        <w:t>Leger Homes Customers.</w:t>
      </w:r>
    </w:p>
    <w:p w14:paraId="0891E64C" w14:textId="77777777" w:rsidR="00ED0397" w:rsidRDefault="00ED0397" w:rsidP="00D25208">
      <w:pPr>
        <w:ind w:left="709" w:hanging="709"/>
      </w:pPr>
    </w:p>
    <w:p w14:paraId="7C5A3D91" w14:textId="235A15AA" w:rsidR="003C6C12" w:rsidRDefault="00ED0397" w:rsidP="003A2D02">
      <w:pPr>
        <w:ind w:left="709" w:hanging="709"/>
      </w:pPr>
      <w:r>
        <w:t>2.2</w:t>
      </w:r>
      <w:r>
        <w:tab/>
      </w:r>
      <w:r w:rsidR="005E0C48">
        <w:t xml:space="preserve">For the purposes of this Policy, the term Customer is used in the broader sense and refers to tenants, </w:t>
      </w:r>
      <w:r w:rsidR="00B2696D">
        <w:t xml:space="preserve">housing </w:t>
      </w:r>
      <w:r w:rsidR="005E0C48">
        <w:t>applicants and those using our services through homeless provision or properties managed by St Leger Lettings.</w:t>
      </w:r>
    </w:p>
    <w:p w14:paraId="604B9A04" w14:textId="77777777" w:rsidR="003C6C12" w:rsidRDefault="003C6C12" w:rsidP="003C6C12">
      <w:pPr>
        <w:ind w:left="720"/>
        <w:jc w:val="left"/>
      </w:pPr>
    </w:p>
    <w:p w14:paraId="1962DCA3" w14:textId="3D1DEAE1" w:rsidR="007B2D8E" w:rsidRPr="003C6C12" w:rsidRDefault="003C6C12" w:rsidP="003C6C12">
      <w:pPr>
        <w:ind w:left="720" w:hanging="720"/>
        <w:jc w:val="left"/>
        <w:rPr>
          <w:b/>
          <w:bCs/>
        </w:rPr>
      </w:pPr>
      <w:r w:rsidRPr="003C6C12">
        <w:rPr>
          <w:b/>
          <w:bCs/>
        </w:rPr>
        <w:t>3.</w:t>
      </w:r>
      <w:r>
        <w:rPr>
          <w:b/>
          <w:bCs/>
        </w:rPr>
        <w:t xml:space="preserve">        </w:t>
      </w:r>
      <w:r w:rsidR="00397DC9" w:rsidRPr="001B211F">
        <w:rPr>
          <w:b/>
          <w:bCs/>
        </w:rPr>
        <w:t>Defining Vulnerability</w:t>
      </w:r>
      <w:r w:rsidR="00397DC9" w:rsidRPr="003C6C12">
        <w:rPr>
          <w:b/>
          <w:bCs/>
        </w:rPr>
        <w:t xml:space="preserve"> </w:t>
      </w:r>
      <w:r w:rsidR="00397DC9">
        <w:rPr>
          <w:b/>
          <w:bCs/>
        </w:rPr>
        <w:t xml:space="preserve">and the </w:t>
      </w:r>
      <w:r w:rsidR="007B2D8E" w:rsidRPr="003C6C12">
        <w:rPr>
          <w:b/>
          <w:bCs/>
        </w:rPr>
        <w:t>Legal Framework</w:t>
      </w:r>
    </w:p>
    <w:p w14:paraId="03EBD73F" w14:textId="77777777" w:rsidR="003C6C12" w:rsidRPr="003C6C12" w:rsidRDefault="003C6C12" w:rsidP="003C6C12">
      <w:pPr>
        <w:jc w:val="left"/>
        <w:rPr>
          <w:b/>
          <w:bCs/>
        </w:rPr>
      </w:pPr>
    </w:p>
    <w:p w14:paraId="34D535E8" w14:textId="4E4A6529" w:rsidR="00E80BF3" w:rsidRDefault="00453BC5" w:rsidP="00B2696D">
      <w:pPr>
        <w:spacing w:after="160"/>
        <w:ind w:left="720" w:hanging="720"/>
        <w:jc w:val="left"/>
      </w:pPr>
      <w:r>
        <w:t>3.1</w:t>
      </w:r>
      <w:r>
        <w:tab/>
      </w:r>
      <w:r w:rsidR="00B2696D">
        <w:t>We are</w:t>
      </w:r>
      <w:r w:rsidR="00DC2253" w:rsidRPr="00ED0397">
        <w:t xml:space="preserve"> committed to meeting </w:t>
      </w:r>
      <w:r w:rsidR="00B2696D">
        <w:t>our</w:t>
      </w:r>
      <w:r w:rsidR="00DC2253" w:rsidRPr="00ED0397">
        <w:t xml:space="preserve"> obligations and duties under the Equality Act 2010 </w:t>
      </w:r>
      <w:r w:rsidR="00E80BF3">
        <w:t xml:space="preserve">and the Public Sector Equality Duty </w:t>
      </w:r>
      <w:r w:rsidR="00DC2253" w:rsidRPr="00ED0397">
        <w:t xml:space="preserve">and to promoting equal opportunities in the provision of </w:t>
      </w:r>
      <w:r w:rsidR="00B2696D">
        <w:t xml:space="preserve">our </w:t>
      </w:r>
      <w:r w:rsidR="00DC2253" w:rsidRPr="00ED0397">
        <w:t>services</w:t>
      </w:r>
      <w:r w:rsidR="00B2696D">
        <w:t>, as well as protecting</w:t>
      </w:r>
      <w:r w:rsidR="00DC2253" w:rsidRPr="00ED0397">
        <w:t xml:space="preserve"> people with ‘protected characteristics’ from unlawful discrimination, harassment and victimisation</w:t>
      </w:r>
      <w:r w:rsidR="00B2696D">
        <w:t>.</w:t>
      </w:r>
    </w:p>
    <w:p w14:paraId="1E05AD04" w14:textId="516DA6B7" w:rsidR="00E80BF3" w:rsidRDefault="00E80BF3" w:rsidP="00E80BF3">
      <w:pPr>
        <w:spacing w:after="160"/>
        <w:ind w:left="720"/>
        <w:jc w:val="left"/>
      </w:pPr>
      <w:r>
        <w:t xml:space="preserve">We ensure that these duties are understood </w:t>
      </w:r>
      <w:r w:rsidR="00B2696D">
        <w:t xml:space="preserve">throughout the organisation </w:t>
      </w:r>
      <w:r>
        <w:t xml:space="preserve">and that we </w:t>
      </w:r>
      <w:r w:rsidRPr="00284D1F">
        <w:t xml:space="preserve">take account of individual needs and make reasonable adjustments </w:t>
      </w:r>
      <w:r w:rsidR="00B2696D">
        <w:t>where</w:t>
      </w:r>
      <w:r w:rsidRPr="00284D1F">
        <w:t xml:space="preserve"> appropriate</w:t>
      </w:r>
      <w:r>
        <w:t xml:space="preserve"> in the service</w:t>
      </w:r>
      <w:r w:rsidR="00B2696D">
        <w:t>s</w:t>
      </w:r>
      <w:r>
        <w:t xml:space="preserve"> we provide</w:t>
      </w:r>
      <w:r w:rsidRPr="00284D1F">
        <w:t>.</w:t>
      </w:r>
      <w:r>
        <w:t xml:space="preserve"> </w:t>
      </w:r>
    </w:p>
    <w:p w14:paraId="4A328475" w14:textId="154063C3" w:rsidR="00E80BF3" w:rsidRDefault="00E80BF3" w:rsidP="00E80BF3">
      <w:pPr>
        <w:spacing w:after="160"/>
        <w:ind w:left="720"/>
        <w:jc w:val="left"/>
      </w:pPr>
      <w:r>
        <w:t xml:space="preserve">Our approach to carrying out these responsibilities are fully set out in </w:t>
      </w:r>
      <w:r w:rsidRPr="00397DC9">
        <w:t>St Leger Homes</w:t>
      </w:r>
      <w:r w:rsidR="00DA17AA">
        <w:t>’</w:t>
      </w:r>
      <w:r w:rsidRPr="00397DC9">
        <w:t xml:space="preserve"> Equality Diversity and Inclusion Policy</w:t>
      </w:r>
      <w:r>
        <w:t>.</w:t>
      </w:r>
    </w:p>
    <w:p w14:paraId="748F3582" w14:textId="77777777" w:rsidR="00910A51" w:rsidRDefault="00910A51" w:rsidP="00E80BF3">
      <w:pPr>
        <w:spacing w:after="160"/>
        <w:ind w:left="720"/>
        <w:jc w:val="left"/>
      </w:pPr>
    </w:p>
    <w:p w14:paraId="73BAECB9" w14:textId="42EC833A" w:rsidR="00DC2253" w:rsidRDefault="00E80BF3" w:rsidP="00E80BF3">
      <w:pPr>
        <w:spacing w:after="160"/>
        <w:ind w:left="720" w:hanging="720"/>
        <w:jc w:val="left"/>
      </w:pPr>
      <w:r>
        <w:lastRenderedPageBreak/>
        <w:t>3.2</w:t>
      </w:r>
      <w:r>
        <w:tab/>
        <w:t xml:space="preserve">Protected </w:t>
      </w:r>
      <w:r w:rsidR="00DC2253" w:rsidRPr="00ED0397">
        <w:t xml:space="preserve">characteristics </w:t>
      </w:r>
      <w:r w:rsidR="006E16DC">
        <w:t xml:space="preserve">across our customer base </w:t>
      </w:r>
      <w:r w:rsidR="00DC2253" w:rsidRPr="00ED0397">
        <w:t>are:</w:t>
      </w:r>
    </w:p>
    <w:p w14:paraId="65186021" w14:textId="77777777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Age</w:t>
      </w:r>
    </w:p>
    <w:p w14:paraId="732CB39E" w14:textId="77777777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Disability</w:t>
      </w:r>
    </w:p>
    <w:p w14:paraId="14F3A83E" w14:textId="77777777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Gender reassignment</w:t>
      </w:r>
    </w:p>
    <w:p w14:paraId="6289FF1B" w14:textId="77777777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Marriage or civil partnership</w:t>
      </w:r>
    </w:p>
    <w:p w14:paraId="630C8B91" w14:textId="0673145A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Pregnancy and maternity</w:t>
      </w:r>
    </w:p>
    <w:p w14:paraId="735334EE" w14:textId="77777777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Race</w:t>
      </w:r>
    </w:p>
    <w:p w14:paraId="5A2286F2" w14:textId="77777777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Religion or belief</w:t>
      </w:r>
    </w:p>
    <w:p w14:paraId="799FCEBF" w14:textId="77777777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Sex</w:t>
      </w:r>
    </w:p>
    <w:p w14:paraId="02CB779E" w14:textId="77777777" w:rsidR="00DC2253" w:rsidRDefault="00DC225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Sexual orientation</w:t>
      </w:r>
    </w:p>
    <w:p w14:paraId="0BE9481E" w14:textId="07E070BA" w:rsidR="00E80BF3" w:rsidRDefault="00E80BF3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>
        <w:t>Care leavers</w:t>
      </w:r>
      <w:r w:rsidR="006E16DC">
        <w:t>*</w:t>
      </w:r>
    </w:p>
    <w:p w14:paraId="58A1008C" w14:textId="64DBDB1B" w:rsidR="00582FC4" w:rsidRPr="00213AE8" w:rsidRDefault="00582FC4" w:rsidP="00D344F7">
      <w:pPr>
        <w:pStyle w:val="ListParagraph"/>
        <w:numPr>
          <w:ilvl w:val="1"/>
          <w:numId w:val="5"/>
        </w:numPr>
        <w:spacing w:after="160" w:line="259" w:lineRule="auto"/>
        <w:jc w:val="left"/>
      </w:pPr>
      <w:r w:rsidRPr="00213AE8">
        <w:t>Carers*</w:t>
      </w:r>
    </w:p>
    <w:p w14:paraId="6A39FD75" w14:textId="4D842079" w:rsidR="00DC2253" w:rsidRPr="00DC2253" w:rsidRDefault="00DC2253" w:rsidP="00DC2253">
      <w:pPr>
        <w:spacing w:after="160" w:line="259" w:lineRule="auto"/>
        <w:ind w:left="720"/>
        <w:jc w:val="left"/>
        <w:rPr>
          <w:highlight w:val="yellow"/>
        </w:rPr>
      </w:pPr>
      <w:r>
        <w:t>As an arm’s length management organisation of City of Doncaster Council</w:t>
      </w:r>
      <w:r w:rsidR="00E80BF3">
        <w:t xml:space="preserve">, we support </w:t>
      </w:r>
      <w:r>
        <w:t xml:space="preserve">the additional protected characteristics of care leavers </w:t>
      </w:r>
      <w:r w:rsidR="00E80BF3">
        <w:t xml:space="preserve">and </w:t>
      </w:r>
      <w:r w:rsidR="00582FC4">
        <w:t xml:space="preserve">carers and we </w:t>
      </w:r>
      <w:r>
        <w:t xml:space="preserve">have adopted </w:t>
      </w:r>
      <w:r w:rsidR="00582FC4">
        <w:t>these</w:t>
      </w:r>
      <w:r>
        <w:t xml:space="preserve"> leavers as a </w:t>
      </w:r>
      <w:r w:rsidR="006E16DC">
        <w:t xml:space="preserve">defined </w:t>
      </w:r>
      <w:r>
        <w:t xml:space="preserve">group with protected characteristics. </w:t>
      </w:r>
    </w:p>
    <w:p w14:paraId="7CB3DB68" w14:textId="77777777" w:rsidR="00BA750E" w:rsidRPr="00BA750E" w:rsidRDefault="00453BC5" w:rsidP="00BA750E">
      <w:pPr>
        <w:spacing w:after="160" w:line="259" w:lineRule="auto"/>
        <w:ind w:left="720" w:hanging="720"/>
        <w:jc w:val="left"/>
      </w:pPr>
      <w:r w:rsidRPr="00397DC9">
        <w:t>3.</w:t>
      </w:r>
      <w:r w:rsidR="00DC2253">
        <w:t>4</w:t>
      </w:r>
      <w:r w:rsidRPr="00397DC9">
        <w:tab/>
      </w:r>
      <w:r w:rsidR="00397DC9" w:rsidRPr="00397DC9">
        <w:t>It is important to note that</w:t>
      </w:r>
      <w:r w:rsidR="006E16DC">
        <w:t xml:space="preserve"> </w:t>
      </w:r>
      <w:r w:rsidR="00397DC9" w:rsidRPr="00397DC9">
        <w:t xml:space="preserve">we do not </w:t>
      </w:r>
      <w:r w:rsidR="00C03E64">
        <w:t>define</w:t>
      </w:r>
      <w:r w:rsidR="00397DC9" w:rsidRPr="00397DC9">
        <w:t xml:space="preserve"> </w:t>
      </w:r>
      <w:r w:rsidR="00112E9B">
        <w:t>customers as vulnerable</w:t>
      </w:r>
      <w:r w:rsidR="00C03E64">
        <w:t xml:space="preserve"> </w:t>
      </w:r>
      <w:r w:rsidR="00112E9B">
        <w:t xml:space="preserve">solely </w:t>
      </w:r>
      <w:r w:rsidR="00397DC9" w:rsidRPr="00397DC9">
        <w:t>by virtue of th</w:t>
      </w:r>
      <w:r w:rsidR="006E16DC">
        <w:t>eir</w:t>
      </w:r>
      <w:r w:rsidR="00397DC9" w:rsidRPr="00397DC9">
        <w:t xml:space="preserve"> </w:t>
      </w:r>
      <w:r w:rsidR="006E16DC">
        <w:t xml:space="preserve">protected </w:t>
      </w:r>
      <w:r w:rsidR="006E16DC" w:rsidRPr="00397DC9">
        <w:t>characteristics</w:t>
      </w:r>
      <w:r w:rsidR="006E16DC">
        <w:t>.  However</w:t>
      </w:r>
      <w:r w:rsidR="00397DC9" w:rsidRPr="00397DC9">
        <w:t xml:space="preserve">, we will give due regard to these </w:t>
      </w:r>
      <w:r w:rsidR="00112E9B">
        <w:t xml:space="preserve">characteristics </w:t>
      </w:r>
      <w:r w:rsidR="00397DC9" w:rsidRPr="00397DC9">
        <w:t>for example</w:t>
      </w:r>
      <w:r w:rsidR="00C03E64">
        <w:t>,</w:t>
      </w:r>
      <w:r w:rsidR="00397DC9" w:rsidRPr="00397DC9">
        <w:t xml:space="preserve"> when </w:t>
      </w:r>
      <w:r w:rsidR="00C03E64">
        <w:t xml:space="preserve">developing strategies, polices, procedures </w:t>
      </w:r>
      <w:r w:rsidR="00C03E64" w:rsidRPr="00BA750E">
        <w:t xml:space="preserve">or </w:t>
      </w:r>
      <w:r w:rsidR="00397DC9" w:rsidRPr="00BA750E">
        <w:t>services</w:t>
      </w:r>
      <w:r w:rsidR="006E16DC" w:rsidRPr="00BA750E">
        <w:t>,</w:t>
      </w:r>
      <w:r w:rsidR="00397DC9" w:rsidRPr="00BA750E">
        <w:t xml:space="preserve"> </w:t>
      </w:r>
      <w:r w:rsidR="00C03E64" w:rsidRPr="00BA750E">
        <w:t>to</w:t>
      </w:r>
      <w:r w:rsidR="00397DC9" w:rsidRPr="00BA750E">
        <w:t xml:space="preserve"> avoid inadvertent discrimination.</w:t>
      </w:r>
      <w:r w:rsidR="00BA750E" w:rsidRPr="00BA750E">
        <w:t xml:space="preserve">  </w:t>
      </w:r>
    </w:p>
    <w:p w14:paraId="351C024D" w14:textId="4B9D41C7" w:rsidR="00397DC9" w:rsidRPr="00BA750E" w:rsidRDefault="00BA750E" w:rsidP="00BA750E">
      <w:pPr>
        <w:spacing w:after="160" w:line="259" w:lineRule="auto"/>
        <w:ind w:left="720" w:hanging="720"/>
        <w:jc w:val="left"/>
      </w:pPr>
      <w:r>
        <w:t>3.5</w:t>
      </w:r>
      <w:r>
        <w:tab/>
      </w:r>
      <w:r w:rsidRPr="00BA750E">
        <w:t xml:space="preserve">This definition is separate from the assessment of priority need within the Homelessness Assessment, which is defined in </w:t>
      </w:r>
      <w:r>
        <w:t xml:space="preserve">homeless </w:t>
      </w:r>
      <w:r w:rsidRPr="00BA750E">
        <w:t>legislation.</w:t>
      </w:r>
    </w:p>
    <w:p w14:paraId="2E798E06" w14:textId="7D0E64F0" w:rsidR="00397DC9" w:rsidRPr="00BA750E" w:rsidRDefault="00BA750E" w:rsidP="00BA750E">
      <w:pPr>
        <w:spacing w:after="160" w:line="259" w:lineRule="auto"/>
        <w:ind w:left="720" w:hanging="720"/>
        <w:jc w:val="left"/>
      </w:pPr>
      <w:r>
        <w:t>3.6</w:t>
      </w:r>
      <w:r>
        <w:tab/>
      </w:r>
      <w:r w:rsidR="00C03E64" w:rsidRPr="00BA750E">
        <w:t>We also</w:t>
      </w:r>
      <w:r w:rsidR="002622EC" w:rsidRPr="00BA750E">
        <w:t xml:space="preserve"> recognise that </w:t>
      </w:r>
      <w:r w:rsidR="00AC5637" w:rsidRPr="00BA750E">
        <w:t xml:space="preserve">some </w:t>
      </w:r>
      <w:r w:rsidR="00C03E64" w:rsidRPr="00BA750E">
        <w:t>customers</w:t>
      </w:r>
      <w:r w:rsidR="006E16DC" w:rsidRPr="00BA750E">
        <w:t xml:space="preserve"> </w:t>
      </w:r>
      <w:r w:rsidR="002622EC" w:rsidRPr="00BA750E">
        <w:t xml:space="preserve">may be vulnerable for reasons outside the scope of </w:t>
      </w:r>
      <w:r w:rsidR="00AC5637" w:rsidRPr="00BA750E">
        <w:t>these</w:t>
      </w:r>
      <w:r w:rsidR="002622EC" w:rsidRPr="00BA750E">
        <w:t xml:space="preserve">. This policy defines vulnerability and outlines our response </w:t>
      </w:r>
      <w:r w:rsidR="00AC5637" w:rsidRPr="00BA750E">
        <w:t>in such circumstances</w:t>
      </w:r>
      <w:r w:rsidRPr="00BA750E">
        <w:t>.</w:t>
      </w:r>
    </w:p>
    <w:p w14:paraId="70B5CA4E" w14:textId="2CFAC9B7" w:rsidR="00813D36" w:rsidRDefault="00813D36" w:rsidP="00813D36">
      <w:pPr>
        <w:spacing w:after="160" w:line="259" w:lineRule="auto"/>
        <w:ind w:left="720" w:hanging="720"/>
        <w:jc w:val="left"/>
      </w:pPr>
      <w:r>
        <w:t>3.</w:t>
      </w:r>
      <w:r w:rsidR="00BA750E">
        <w:t>7</w:t>
      </w:r>
      <w:r>
        <w:tab/>
      </w:r>
      <w:r w:rsidRPr="00813D36">
        <w:t>The Social Housing Regulator’s Tenant Involvement &amp; Empowerment standard mandates us to treat all tenants with fairness and respect, demonstrating an understanding of tenants’ diverse needs, including those with additional support requirements.</w:t>
      </w:r>
    </w:p>
    <w:p w14:paraId="4169321A" w14:textId="5DD663B7" w:rsidR="00587EF0" w:rsidRDefault="00453BC5" w:rsidP="00587EF0">
      <w:pPr>
        <w:spacing w:after="160" w:line="259" w:lineRule="auto"/>
        <w:ind w:left="720" w:hanging="720"/>
        <w:jc w:val="left"/>
      </w:pPr>
      <w:r>
        <w:t>3.</w:t>
      </w:r>
      <w:r w:rsidR="00BA750E">
        <w:t>8</w:t>
      </w:r>
      <w:r>
        <w:tab/>
      </w:r>
      <w:r w:rsidR="00587EF0" w:rsidRPr="006C723B">
        <w:rPr>
          <w:b/>
          <w:bCs/>
        </w:rPr>
        <w:t>Defining Vulnerable Customers</w:t>
      </w:r>
    </w:p>
    <w:p w14:paraId="66184307" w14:textId="27685DE1" w:rsidR="00170546" w:rsidRDefault="006E16DC" w:rsidP="00587EF0">
      <w:pPr>
        <w:spacing w:after="160" w:line="259" w:lineRule="auto"/>
        <w:ind w:left="720"/>
        <w:jc w:val="left"/>
      </w:pPr>
      <w:r>
        <w:t xml:space="preserve">In this Policy, we define ‘vulnerable’ as customers who possess protected characteristics </w:t>
      </w:r>
      <w:r w:rsidR="00910A51">
        <w:t xml:space="preserve">which may make them vulnerable </w:t>
      </w:r>
      <w:r>
        <w:t xml:space="preserve">or </w:t>
      </w:r>
      <w:r w:rsidR="00910A51">
        <w:t xml:space="preserve">those who </w:t>
      </w:r>
      <w:r>
        <w:t>are experiencing exceptional life events, making it difficult to manage their day-to-day affairs</w:t>
      </w:r>
      <w:r w:rsidRPr="00397DC9">
        <w:t xml:space="preserve"> </w:t>
      </w:r>
      <w:r w:rsidR="00587EF0">
        <w:t xml:space="preserve">without additional help.  This </w:t>
      </w:r>
      <w:r>
        <w:t xml:space="preserve">can be </w:t>
      </w:r>
      <w:r w:rsidR="00587EF0">
        <w:t xml:space="preserve">a </w:t>
      </w:r>
      <w:r w:rsidR="00910A51">
        <w:t>permanent</w:t>
      </w:r>
      <w:r>
        <w:t xml:space="preserve"> or temporary</w:t>
      </w:r>
      <w:r w:rsidR="00587EF0">
        <w:t xml:space="preserve"> state.</w:t>
      </w:r>
    </w:p>
    <w:p w14:paraId="7A3C5919" w14:textId="5BE70211" w:rsidR="00B231E1" w:rsidRDefault="00B231E1" w:rsidP="00587EF0">
      <w:pPr>
        <w:ind w:left="720"/>
        <w:jc w:val="left"/>
      </w:pPr>
      <w:r>
        <w:t xml:space="preserve">As mentioned previously, a protected </w:t>
      </w:r>
      <w:r w:rsidR="002A3769">
        <w:t>characteristic, does</w:t>
      </w:r>
      <w:r>
        <w:t xml:space="preserve"> not automatically assume a person is vulnerable.  </w:t>
      </w:r>
    </w:p>
    <w:p w14:paraId="78331E9F" w14:textId="77777777" w:rsidR="00B231E1" w:rsidRDefault="00B231E1" w:rsidP="00B231E1">
      <w:pPr>
        <w:ind w:left="720" w:hanging="720"/>
        <w:jc w:val="left"/>
      </w:pPr>
    </w:p>
    <w:p w14:paraId="5C2AB46B" w14:textId="3593AA4E" w:rsidR="00B231E1" w:rsidRDefault="00587EF0" w:rsidP="00B231E1">
      <w:pPr>
        <w:ind w:left="720"/>
        <w:jc w:val="left"/>
      </w:pPr>
      <w:r>
        <w:t>Exceptional</w:t>
      </w:r>
      <w:r w:rsidR="00B231E1">
        <w:t xml:space="preserve"> life events or other circumstances </w:t>
      </w:r>
      <w:r>
        <w:t>that may</w:t>
      </w:r>
      <w:r w:rsidR="00B231E1">
        <w:t xml:space="preserve"> render people vulnerable, whether for a short period or longer-term, includ</w:t>
      </w:r>
      <w:r>
        <w:t>es</w:t>
      </w:r>
      <w:r w:rsidR="00B231E1">
        <w:t>:</w:t>
      </w:r>
    </w:p>
    <w:p w14:paraId="6D58540B" w14:textId="77777777" w:rsidR="00B231E1" w:rsidRDefault="00B231E1" w:rsidP="00B231E1">
      <w:pPr>
        <w:ind w:left="720"/>
        <w:jc w:val="left"/>
      </w:pPr>
    </w:p>
    <w:p w14:paraId="709D2EC4" w14:textId="0AE8C582" w:rsidR="00B231E1" w:rsidRDefault="00B231E1" w:rsidP="00D344F7">
      <w:pPr>
        <w:pStyle w:val="ListParagraph"/>
        <w:numPr>
          <w:ilvl w:val="0"/>
          <w:numId w:val="3"/>
        </w:numPr>
        <w:jc w:val="left"/>
      </w:pPr>
      <w:r>
        <w:t xml:space="preserve">those experiencing </w:t>
      </w:r>
      <w:r w:rsidR="0065223C">
        <w:t xml:space="preserve">and survivors of </w:t>
      </w:r>
      <w:r>
        <w:t xml:space="preserve">domestic </w:t>
      </w:r>
      <w:r w:rsidR="00851122">
        <w:t>abuse.</w:t>
      </w:r>
    </w:p>
    <w:p w14:paraId="5918104F" w14:textId="097EB835" w:rsidR="00B231E1" w:rsidRDefault="00B231E1" w:rsidP="00D344F7">
      <w:pPr>
        <w:pStyle w:val="ListParagraph"/>
        <w:numPr>
          <w:ilvl w:val="0"/>
          <w:numId w:val="3"/>
        </w:numPr>
        <w:jc w:val="left"/>
      </w:pPr>
      <w:r>
        <w:t>people who have substance misuse issues</w:t>
      </w:r>
      <w:r w:rsidR="00851122">
        <w:t>.</w:t>
      </w:r>
    </w:p>
    <w:p w14:paraId="4BD6033C" w14:textId="3DF8EDBD" w:rsidR="002A3769" w:rsidRDefault="002A3769" w:rsidP="002A3769">
      <w:pPr>
        <w:pStyle w:val="ListParagraph"/>
        <w:numPr>
          <w:ilvl w:val="0"/>
          <w:numId w:val="3"/>
        </w:numPr>
        <w:jc w:val="left"/>
      </w:pPr>
      <w:r>
        <w:t xml:space="preserve">People experiencing poor </w:t>
      </w:r>
      <w:r w:rsidR="00E62E8D">
        <w:t xml:space="preserve">physical or </w:t>
      </w:r>
      <w:r>
        <w:t>mental health.</w:t>
      </w:r>
    </w:p>
    <w:p w14:paraId="7B2ED300" w14:textId="77777777" w:rsidR="002A3769" w:rsidRDefault="002A3769" w:rsidP="002A3769">
      <w:pPr>
        <w:pStyle w:val="ListParagraph"/>
        <w:numPr>
          <w:ilvl w:val="0"/>
          <w:numId w:val="3"/>
        </w:numPr>
        <w:jc w:val="left"/>
      </w:pPr>
      <w:r>
        <w:lastRenderedPageBreak/>
        <w:t>those who are or have recently been homeless or living in temporary accommodation.</w:t>
      </w:r>
    </w:p>
    <w:p w14:paraId="0B369153" w14:textId="6E051E74" w:rsidR="00B231E1" w:rsidRDefault="00B231E1" w:rsidP="00D344F7">
      <w:pPr>
        <w:pStyle w:val="ListParagraph"/>
        <w:numPr>
          <w:ilvl w:val="0"/>
          <w:numId w:val="3"/>
        </w:numPr>
        <w:jc w:val="left"/>
      </w:pPr>
      <w:r>
        <w:t xml:space="preserve">people experiencing severe financial hardship or financial </w:t>
      </w:r>
      <w:r w:rsidR="00851122">
        <w:t>abuse.</w:t>
      </w:r>
      <w:r>
        <w:t xml:space="preserve">  </w:t>
      </w:r>
    </w:p>
    <w:p w14:paraId="771802BB" w14:textId="61717685" w:rsidR="00B231E1" w:rsidRPr="00DC2253" w:rsidRDefault="00B231E1" w:rsidP="00D344F7">
      <w:pPr>
        <w:pStyle w:val="ListParagraph"/>
        <w:numPr>
          <w:ilvl w:val="0"/>
          <w:numId w:val="3"/>
        </w:numPr>
        <w:jc w:val="left"/>
      </w:pPr>
      <w:r w:rsidRPr="00DC2253">
        <w:t>people neglecting their health and wellbeing</w:t>
      </w:r>
      <w:r w:rsidR="00851122">
        <w:t>.</w:t>
      </w:r>
    </w:p>
    <w:p w14:paraId="6F2DBBB6" w14:textId="4EE08661" w:rsidR="00B231E1" w:rsidRPr="00DC2253" w:rsidRDefault="00B231E1" w:rsidP="00D344F7">
      <w:pPr>
        <w:pStyle w:val="ListParagraph"/>
        <w:numPr>
          <w:ilvl w:val="0"/>
          <w:numId w:val="3"/>
        </w:numPr>
        <w:jc w:val="left"/>
      </w:pPr>
      <w:r w:rsidRPr="00DC2253">
        <w:t>care leavers</w:t>
      </w:r>
      <w:r w:rsidR="00851122">
        <w:t>.</w:t>
      </w:r>
    </w:p>
    <w:p w14:paraId="48873804" w14:textId="4CCCCEDE" w:rsidR="00B231E1" w:rsidRPr="00DC2253" w:rsidRDefault="00B231E1" w:rsidP="00D344F7">
      <w:pPr>
        <w:pStyle w:val="ListParagraph"/>
        <w:numPr>
          <w:ilvl w:val="0"/>
          <w:numId w:val="3"/>
        </w:numPr>
        <w:jc w:val="left"/>
      </w:pPr>
      <w:r w:rsidRPr="00DC2253">
        <w:t xml:space="preserve">ex-service </w:t>
      </w:r>
      <w:r w:rsidR="00E62E8D" w:rsidRPr="00DC2253">
        <w:t>personnel.</w:t>
      </w:r>
    </w:p>
    <w:p w14:paraId="067CD7E2" w14:textId="2E429114" w:rsidR="00B231E1" w:rsidRPr="00DC2253" w:rsidRDefault="00B231E1" w:rsidP="00D344F7">
      <w:pPr>
        <w:pStyle w:val="ListParagraph"/>
        <w:numPr>
          <w:ilvl w:val="0"/>
          <w:numId w:val="3"/>
        </w:numPr>
        <w:jc w:val="left"/>
      </w:pPr>
      <w:r w:rsidRPr="00DC2253">
        <w:t>being a victim of crime</w:t>
      </w:r>
      <w:r w:rsidR="00851122">
        <w:t>.</w:t>
      </w:r>
    </w:p>
    <w:p w14:paraId="7E72B830" w14:textId="240C2FB1" w:rsidR="00B231E1" w:rsidRPr="00DC2253" w:rsidRDefault="00B231E1" w:rsidP="00D344F7">
      <w:pPr>
        <w:pStyle w:val="ListParagraph"/>
        <w:numPr>
          <w:ilvl w:val="0"/>
          <w:numId w:val="3"/>
        </w:numPr>
        <w:jc w:val="left"/>
      </w:pPr>
      <w:r w:rsidRPr="00DC2253">
        <w:t>recent hospital discharge</w:t>
      </w:r>
      <w:r w:rsidR="00587EF0">
        <w:t xml:space="preserve"> following long-term </w:t>
      </w:r>
      <w:r w:rsidR="00851122">
        <w:t>stay.</w:t>
      </w:r>
    </w:p>
    <w:p w14:paraId="45BA4B6D" w14:textId="77777777" w:rsidR="00587EF0" w:rsidRDefault="00B231E1" w:rsidP="00D344F7">
      <w:pPr>
        <w:pStyle w:val="ListParagraph"/>
        <w:numPr>
          <w:ilvl w:val="0"/>
          <w:numId w:val="3"/>
        </w:numPr>
        <w:jc w:val="left"/>
      </w:pPr>
      <w:r w:rsidRPr="00DC2253">
        <w:t xml:space="preserve">refugees or asylum seekers, </w:t>
      </w:r>
    </w:p>
    <w:p w14:paraId="7B5EE6AA" w14:textId="77777777" w:rsidR="00587EF0" w:rsidRDefault="00587EF0" w:rsidP="00397DC9">
      <w:pPr>
        <w:jc w:val="left"/>
        <w:rPr>
          <w:b/>
          <w:bCs/>
        </w:rPr>
      </w:pPr>
    </w:p>
    <w:p w14:paraId="4B5A7A65" w14:textId="53659701" w:rsidR="00B76DA7" w:rsidRDefault="00FD7014" w:rsidP="00397DC9">
      <w:pPr>
        <w:jc w:val="left"/>
      </w:pPr>
      <w:r>
        <w:rPr>
          <w:b/>
          <w:bCs/>
        </w:rPr>
        <w:t>4</w:t>
      </w:r>
      <w:r w:rsidR="009C2857" w:rsidRPr="007B2D8E">
        <w:rPr>
          <w:b/>
          <w:bCs/>
        </w:rPr>
        <w:t>.</w:t>
      </w:r>
      <w:r w:rsidR="00397DC9">
        <w:rPr>
          <w:b/>
          <w:bCs/>
        </w:rPr>
        <w:tab/>
        <w:t>The Policy</w:t>
      </w:r>
      <w:r w:rsidR="002622EC" w:rsidRPr="001B211F">
        <w:rPr>
          <w:b/>
          <w:bCs/>
        </w:rPr>
        <w:cr/>
      </w:r>
    </w:p>
    <w:p w14:paraId="73E1D35A" w14:textId="60FBDBB7" w:rsidR="003A2D02" w:rsidRDefault="00453BC5" w:rsidP="00587EF0">
      <w:pPr>
        <w:ind w:left="720" w:hanging="720"/>
        <w:jc w:val="left"/>
      </w:pPr>
      <w:r>
        <w:t>4.1</w:t>
      </w:r>
      <w:r>
        <w:tab/>
      </w:r>
      <w:r w:rsidR="00213AE8">
        <w:t>O</w:t>
      </w:r>
      <w:r w:rsidR="003A2D02">
        <w:t xml:space="preserve">ur primary objective is to ensure that vulnerable </w:t>
      </w:r>
      <w:r w:rsidR="00B2696D">
        <w:t>customers</w:t>
      </w:r>
      <w:r w:rsidR="003A2D02">
        <w:t xml:space="preserve"> can access </w:t>
      </w:r>
      <w:r w:rsidR="00112E9B">
        <w:t xml:space="preserve">and receive </w:t>
      </w:r>
      <w:r w:rsidR="003A2D02">
        <w:t>our services without hindrance.  To achieve this, we will:</w:t>
      </w:r>
    </w:p>
    <w:p w14:paraId="39760ED8" w14:textId="77777777" w:rsidR="003A2D02" w:rsidRDefault="003A2D02" w:rsidP="003A2D02">
      <w:pPr>
        <w:ind w:left="709" w:hanging="709"/>
      </w:pPr>
    </w:p>
    <w:p w14:paraId="012444B9" w14:textId="5A7955A1" w:rsidR="003A2D02" w:rsidRDefault="003A2D02" w:rsidP="00D344F7">
      <w:pPr>
        <w:pStyle w:val="ListParagraph"/>
        <w:numPr>
          <w:ilvl w:val="0"/>
          <w:numId w:val="2"/>
        </w:numPr>
        <w:jc w:val="left"/>
      </w:pPr>
      <w:r>
        <w:t>Record customer contact information regarding identified vulnerabilities and use in</w:t>
      </w:r>
      <w:r w:rsidRPr="000926FA">
        <w:t xml:space="preserve">teractions with customers to check and verify </w:t>
      </w:r>
      <w:r w:rsidR="00851122" w:rsidRPr="000926FA">
        <w:t>these</w:t>
      </w:r>
      <w:r w:rsidR="000926FA" w:rsidRPr="000926FA">
        <w:t xml:space="preserve"> where necessary</w:t>
      </w:r>
      <w:r w:rsidR="00851122" w:rsidRPr="000926FA">
        <w:t>.</w:t>
      </w:r>
    </w:p>
    <w:p w14:paraId="3B985F99" w14:textId="77777777" w:rsidR="008417A0" w:rsidRDefault="003A2D02" w:rsidP="006B0512">
      <w:pPr>
        <w:pStyle w:val="ListParagraph"/>
        <w:numPr>
          <w:ilvl w:val="0"/>
          <w:numId w:val="2"/>
        </w:numPr>
        <w:jc w:val="left"/>
      </w:pPr>
      <w:r>
        <w:t xml:space="preserve">Use </w:t>
      </w:r>
      <w:r w:rsidR="00B2696D">
        <w:t xml:space="preserve">customer and </w:t>
      </w:r>
      <w:r>
        <w:t xml:space="preserve">tenant insight data including vulnerabilities in our </w:t>
      </w:r>
      <w:r w:rsidR="00587EF0">
        <w:t xml:space="preserve">strategic and operational </w:t>
      </w:r>
      <w:r w:rsidR="00851122">
        <w:t>decision-making.</w:t>
      </w:r>
    </w:p>
    <w:p w14:paraId="5DE269E5" w14:textId="2ACAA7E9" w:rsidR="003A2D02" w:rsidRDefault="003A2D02" w:rsidP="006B0512">
      <w:pPr>
        <w:pStyle w:val="ListParagraph"/>
        <w:numPr>
          <w:ilvl w:val="0"/>
          <w:numId w:val="2"/>
        </w:numPr>
        <w:jc w:val="left"/>
      </w:pPr>
      <w:r>
        <w:t xml:space="preserve">Assist vulnerable </w:t>
      </w:r>
      <w:r w:rsidR="00B2696D">
        <w:t>customers</w:t>
      </w:r>
      <w:r>
        <w:t xml:space="preserve"> in accessing our services and direct them to additional support when needed.</w:t>
      </w:r>
    </w:p>
    <w:p w14:paraId="24E3BF5D" w14:textId="21A55C46" w:rsidR="00DA17AA" w:rsidRDefault="00DA17AA" w:rsidP="00D344F7">
      <w:pPr>
        <w:pStyle w:val="ListParagraph"/>
        <w:numPr>
          <w:ilvl w:val="0"/>
          <w:numId w:val="2"/>
        </w:numPr>
        <w:jc w:val="left"/>
      </w:pPr>
      <w:r>
        <w:t xml:space="preserve">Ensure our staff are trained and knowledgeable in how to identify and take account of vulnerabilities when delivering all our </w:t>
      </w:r>
      <w:r w:rsidR="00213AE8">
        <w:t>services.</w:t>
      </w:r>
    </w:p>
    <w:p w14:paraId="52056CA7" w14:textId="77777777" w:rsidR="003A2D02" w:rsidRPr="008D35F3" w:rsidRDefault="003A2D02" w:rsidP="00D344F7">
      <w:pPr>
        <w:pStyle w:val="ListParagraph"/>
        <w:numPr>
          <w:ilvl w:val="0"/>
          <w:numId w:val="2"/>
        </w:numPr>
        <w:jc w:val="left"/>
        <w:rPr>
          <w:rFonts w:cs="Arial"/>
        </w:rPr>
      </w:pPr>
      <w:r>
        <w:t xml:space="preserve">Refer cases </w:t>
      </w:r>
      <w:r w:rsidRPr="008D35F3">
        <w:rPr>
          <w:rFonts w:cs="Arial"/>
        </w:rPr>
        <w:t>requiring short-term support or assessment to our Tenancy Sustainability teams for Tenancy or Mental Health support.</w:t>
      </w:r>
    </w:p>
    <w:p w14:paraId="3526232D" w14:textId="77777777" w:rsidR="003A2D02" w:rsidRPr="00453BC5" w:rsidRDefault="003A2D02" w:rsidP="00D344F7">
      <w:pPr>
        <w:pStyle w:val="ListParagraph"/>
        <w:numPr>
          <w:ilvl w:val="0"/>
          <w:numId w:val="2"/>
        </w:numPr>
        <w:jc w:val="left"/>
        <w:rPr>
          <w:rFonts w:cs="Arial"/>
          <w:b/>
          <w:bCs/>
        </w:rPr>
      </w:pPr>
      <w:r w:rsidRPr="008D35F3">
        <w:rPr>
          <w:rFonts w:cs="Arial"/>
        </w:rPr>
        <w:t xml:space="preserve">Refer to statutory services </w:t>
      </w:r>
      <w:r>
        <w:rPr>
          <w:rFonts w:cs="Arial"/>
        </w:rPr>
        <w:t xml:space="preserve">or </w:t>
      </w:r>
      <w:r w:rsidRPr="005C6B48">
        <w:rPr>
          <w:rFonts w:cs="Arial"/>
        </w:rPr>
        <w:t>other specialist support</w:t>
      </w:r>
      <w:r>
        <w:rPr>
          <w:rFonts w:cs="Arial"/>
        </w:rPr>
        <w:t xml:space="preserve"> as required</w:t>
      </w:r>
      <w:r w:rsidRPr="008D35F3">
        <w:rPr>
          <w:rFonts w:cs="Arial"/>
        </w:rPr>
        <w:t>.</w:t>
      </w:r>
    </w:p>
    <w:p w14:paraId="13204D64" w14:textId="77777777" w:rsidR="003A2D02" w:rsidRPr="003C6C12" w:rsidRDefault="003A2D02" w:rsidP="00D344F7">
      <w:pPr>
        <w:pStyle w:val="ListParagraph"/>
        <w:numPr>
          <w:ilvl w:val="0"/>
          <w:numId w:val="2"/>
        </w:numPr>
        <w:jc w:val="left"/>
        <w:rPr>
          <w:rFonts w:cs="Arial"/>
          <w:b/>
          <w:bCs/>
        </w:rPr>
      </w:pPr>
      <w:r w:rsidRPr="008D35F3">
        <w:rPr>
          <w:rFonts w:cs="Arial"/>
        </w:rPr>
        <w:t>Make safeguarding referrals or raise concerns as appropriate.</w:t>
      </w:r>
    </w:p>
    <w:p w14:paraId="5FB78470" w14:textId="77777777" w:rsidR="003317BC" w:rsidRDefault="003317BC" w:rsidP="003317BC">
      <w:pPr>
        <w:jc w:val="left"/>
      </w:pPr>
    </w:p>
    <w:p w14:paraId="5945B936" w14:textId="75B26265" w:rsidR="003A2D02" w:rsidRDefault="003317BC" w:rsidP="00D344F7">
      <w:pPr>
        <w:pStyle w:val="ListParagraph"/>
        <w:numPr>
          <w:ilvl w:val="1"/>
          <w:numId w:val="9"/>
        </w:numPr>
        <w:ind w:left="709" w:hanging="709"/>
        <w:jc w:val="left"/>
      </w:pPr>
      <w:r>
        <w:t>We will g</w:t>
      </w:r>
      <w:r w:rsidR="003A2D02">
        <w:t xml:space="preserve">ive consideration to known vulnerabilities in terms of how we deliver services to individuals for all </w:t>
      </w:r>
      <w:r w:rsidR="00910A51">
        <w:t xml:space="preserve">of our </w:t>
      </w:r>
      <w:r w:rsidR="003A2D02">
        <w:t>services, but particularly in relation to the following:</w:t>
      </w:r>
    </w:p>
    <w:p w14:paraId="62DF3C2F" w14:textId="77777777" w:rsidR="003A2D02" w:rsidRDefault="003A2D02" w:rsidP="003A2D02">
      <w:pPr>
        <w:pStyle w:val="ListParagraph"/>
        <w:ind w:left="1440"/>
        <w:jc w:val="left"/>
      </w:pPr>
    </w:p>
    <w:p w14:paraId="2914C2AC" w14:textId="0B6A77A4" w:rsidR="003A2D02" w:rsidRPr="003C6C12" w:rsidRDefault="0021733D" w:rsidP="003A2D02">
      <w:pPr>
        <w:ind w:left="709" w:hanging="709"/>
        <w:jc w:val="left"/>
      </w:pPr>
      <w:r>
        <w:t>4</w:t>
      </w:r>
      <w:r w:rsidR="003A2D02" w:rsidRPr="003C6C12">
        <w:t>.</w:t>
      </w:r>
      <w:r w:rsidR="003317BC">
        <w:t>2</w:t>
      </w:r>
      <w:r w:rsidR="003A2D02" w:rsidRPr="003C6C12">
        <w:t>.1</w:t>
      </w:r>
      <w:r w:rsidR="003A2D02" w:rsidRPr="003C6C12">
        <w:tab/>
        <w:t>Repairs, maintenance and home improvements</w:t>
      </w:r>
    </w:p>
    <w:p w14:paraId="1C7D1408" w14:textId="77777777" w:rsidR="003A2D02" w:rsidRDefault="003A2D02" w:rsidP="003A2D02">
      <w:pPr>
        <w:ind w:left="709" w:hanging="709"/>
        <w:jc w:val="left"/>
      </w:pPr>
    </w:p>
    <w:p w14:paraId="05763EB1" w14:textId="7B31180A" w:rsidR="003A2D02" w:rsidRDefault="003A2D02" w:rsidP="003A2D02">
      <w:pPr>
        <w:ind w:left="709"/>
        <w:jc w:val="left"/>
      </w:pPr>
      <w:r w:rsidRPr="00160FF0">
        <w:t xml:space="preserve">We will take account of </w:t>
      </w:r>
      <w:r>
        <w:t xml:space="preserve">any known </w:t>
      </w:r>
      <w:r w:rsidRPr="00160FF0">
        <w:t xml:space="preserve">vulnerabilities </w:t>
      </w:r>
      <w:r>
        <w:t xml:space="preserve">and will consider reasonable adjustments </w:t>
      </w:r>
      <w:r w:rsidRPr="00160FF0">
        <w:t>when</w:t>
      </w:r>
      <w:r>
        <w:t xml:space="preserve"> arranging repairs with regards access, appointments and repair priorities.  We will also use </w:t>
      </w:r>
      <w:r w:rsidR="00B2696D">
        <w:t xml:space="preserve">customer and </w:t>
      </w:r>
      <w:r>
        <w:t>tenant insight data with regards known vulnerabilities to inform improvement programmes.</w:t>
      </w:r>
    </w:p>
    <w:p w14:paraId="244FC03A" w14:textId="77777777" w:rsidR="003A2D02" w:rsidRPr="00160FF0" w:rsidRDefault="003A2D02" w:rsidP="003A2D02">
      <w:pPr>
        <w:ind w:left="709" w:hanging="709"/>
        <w:jc w:val="left"/>
      </w:pPr>
    </w:p>
    <w:p w14:paraId="228E4631" w14:textId="60092728" w:rsidR="003A2D02" w:rsidRPr="003C6C12" w:rsidRDefault="0021733D" w:rsidP="003A2D02">
      <w:pPr>
        <w:ind w:left="709" w:hanging="709"/>
        <w:jc w:val="left"/>
      </w:pPr>
      <w:r>
        <w:t>4.</w:t>
      </w:r>
      <w:r w:rsidR="003317BC">
        <w:t>2</w:t>
      </w:r>
      <w:r w:rsidR="003A2D02" w:rsidRPr="003C6C12">
        <w:t>.2</w:t>
      </w:r>
      <w:r w:rsidR="003A2D02" w:rsidRPr="003C6C12">
        <w:tab/>
        <w:t xml:space="preserve">Income management and rent </w:t>
      </w:r>
      <w:r w:rsidR="00851122" w:rsidRPr="003C6C12">
        <w:t>payments.</w:t>
      </w:r>
      <w:r w:rsidR="003A2D02" w:rsidRPr="003C6C12">
        <w:t xml:space="preserve"> </w:t>
      </w:r>
    </w:p>
    <w:p w14:paraId="47278677" w14:textId="77777777" w:rsidR="003A2D02" w:rsidRDefault="003A2D02" w:rsidP="003A2D02">
      <w:pPr>
        <w:ind w:left="709" w:hanging="709"/>
        <w:jc w:val="left"/>
      </w:pPr>
    </w:p>
    <w:p w14:paraId="525E53B4" w14:textId="4535D1C0" w:rsidR="003A2D02" w:rsidRDefault="003A2D02" w:rsidP="003A2D02">
      <w:pPr>
        <w:ind w:left="709"/>
        <w:jc w:val="left"/>
      </w:pPr>
      <w:r w:rsidRPr="00561F06">
        <w:t xml:space="preserve">We will use insight data to </w:t>
      </w:r>
      <w:r>
        <w:t xml:space="preserve">improve financial resilience for vulnerable </w:t>
      </w:r>
      <w:r w:rsidR="00B2696D">
        <w:t>customers</w:t>
      </w:r>
      <w:r>
        <w:t xml:space="preserve"> and will adhere to </w:t>
      </w:r>
      <w:r w:rsidRPr="00160FF0">
        <w:t>a pre-action protocol</w:t>
      </w:r>
      <w:r>
        <w:t xml:space="preserve"> in managing non-payment of rent, so that legal enforcement is used only as a last resort when other efforts have failed.  </w:t>
      </w:r>
    </w:p>
    <w:p w14:paraId="07BDFD61" w14:textId="77777777" w:rsidR="003A2D02" w:rsidRDefault="003A2D02" w:rsidP="003A2D02">
      <w:pPr>
        <w:ind w:left="709" w:hanging="709"/>
        <w:jc w:val="left"/>
      </w:pPr>
    </w:p>
    <w:p w14:paraId="1EAE35AD" w14:textId="60DA4BF3" w:rsidR="003A2D02" w:rsidRPr="00561F06" w:rsidRDefault="003A2D02" w:rsidP="003A2D02">
      <w:pPr>
        <w:ind w:left="720"/>
        <w:jc w:val="left"/>
      </w:pPr>
      <w:r>
        <w:t xml:space="preserve">We will </w:t>
      </w:r>
      <w:r w:rsidRPr="00160FF0">
        <w:t xml:space="preserve">carry out a proportionality assessment </w:t>
      </w:r>
      <w:bookmarkStart w:id="5" w:name="_Hlk188362753"/>
      <w:r w:rsidR="0065223C">
        <w:t xml:space="preserve">when considering legal enforcement </w:t>
      </w:r>
      <w:bookmarkEnd w:id="5"/>
      <w:r w:rsidR="0065223C">
        <w:t>options</w:t>
      </w:r>
      <w:r>
        <w:t xml:space="preserve"> for rent arrears,</w:t>
      </w:r>
      <w:r w:rsidRPr="00160FF0">
        <w:t xml:space="preserve"> giving due regard to an individual’s protected characteristics and </w:t>
      </w:r>
      <w:r>
        <w:t xml:space="preserve">any known </w:t>
      </w:r>
      <w:r w:rsidRPr="00160FF0">
        <w:t>vulnerabilities</w:t>
      </w:r>
      <w:r>
        <w:t xml:space="preserve"> to consider if the tenants behaviour is related to their disability or vulnerability and if alternative </w:t>
      </w:r>
      <w:r>
        <w:lastRenderedPageBreak/>
        <w:t>sanctions or solution can be used</w:t>
      </w:r>
      <w:r w:rsidRPr="00160FF0">
        <w:t>.</w:t>
      </w:r>
      <w:r w:rsidRPr="00D25208">
        <w:t xml:space="preserve"> </w:t>
      </w:r>
      <w:r>
        <w:t>Tenants will be offered tenancy support prior to any legal enforcement being considered.</w:t>
      </w:r>
    </w:p>
    <w:p w14:paraId="1C4DF39C" w14:textId="77777777" w:rsidR="003A2D02" w:rsidRDefault="003A2D02" w:rsidP="003A2D02">
      <w:pPr>
        <w:jc w:val="left"/>
        <w:rPr>
          <w:b/>
          <w:bCs/>
        </w:rPr>
      </w:pPr>
    </w:p>
    <w:p w14:paraId="75875F44" w14:textId="46B89467" w:rsidR="003A2D02" w:rsidRPr="003C6C12" w:rsidRDefault="003A2D02" w:rsidP="00D344F7">
      <w:pPr>
        <w:pStyle w:val="ListParagraph"/>
        <w:numPr>
          <w:ilvl w:val="2"/>
          <w:numId w:val="10"/>
        </w:numPr>
        <w:jc w:val="left"/>
      </w:pPr>
      <w:r w:rsidRPr="003C6C12">
        <w:t>Tenancy management and enforcement</w:t>
      </w:r>
    </w:p>
    <w:p w14:paraId="5BEF2025" w14:textId="77777777" w:rsidR="00910A51" w:rsidRDefault="00910A51" w:rsidP="003A2D02">
      <w:pPr>
        <w:ind w:left="720"/>
        <w:jc w:val="left"/>
      </w:pPr>
    </w:p>
    <w:p w14:paraId="7BE0EBC5" w14:textId="42931322" w:rsidR="003A2D02" w:rsidRDefault="003A2D02" w:rsidP="00213AE8">
      <w:pPr>
        <w:ind w:left="720"/>
        <w:jc w:val="left"/>
      </w:pPr>
      <w:r w:rsidRPr="00160FF0">
        <w:t xml:space="preserve">We will carry out a proportionality assessment when considering </w:t>
      </w:r>
      <w:r w:rsidR="0065223C" w:rsidRPr="0065223C">
        <w:t>when considering legal enforcement</w:t>
      </w:r>
      <w:r w:rsidR="0065223C">
        <w:t xml:space="preserve"> options</w:t>
      </w:r>
      <w:r w:rsidRPr="00160FF0">
        <w:t xml:space="preserve">, giving due regard to an individual’s </w:t>
      </w:r>
      <w:r w:rsidR="00213AE8" w:rsidRPr="00160FF0">
        <w:t>protected</w:t>
      </w:r>
      <w:r w:rsidR="00213AE8">
        <w:t xml:space="preserve"> c</w:t>
      </w:r>
      <w:r w:rsidRPr="00160FF0">
        <w:t xml:space="preserve">haracteristics and </w:t>
      </w:r>
      <w:r>
        <w:t xml:space="preserve">any known </w:t>
      </w:r>
      <w:r w:rsidRPr="00160FF0">
        <w:t>vulnerabilities.</w:t>
      </w:r>
      <w:r>
        <w:t xml:space="preserve"> </w:t>
      </w:r>
    </w:p>
    <w:p w14:paraId="3FCBB02E" w14:textId="7EC1CE5D" w:rsidR="00FD7014" w:rsidRPr="00DC2253" w:rsidRDefault="00FD7014" w:rsidP="00910A51">
      <w:pPr>
        <w:pStyle w:val="ListParagraph"/>
        <w:ind w:left="1440"/>
        <w:jc w:val="left"/>
      </w:pPr>
    </w:p>
    <w:p w14:paraId="17CF52BC" w14:textId="7EC787A3" w:rsidR="00F20417" w:rsidRDefault="00ED0397" w:rsidP="00F20417">
      <w:pPr>
        <w:spacing w:after="160" w:line="259" w:lineRule="auto"/>
        <w:ind w:left="720" w:hanging="720"/>
        <w:jc w:val="left"/>
      </w:pPr>
      <w:r w:rsidRPr="00ED0397">
        <w:t>4.</w:t>
      </w:r>
      <w:r w:rsidR="003317BC">
        <w:t>3</w:t>
      </w:r>
      <w:r w:rsidR="00F20417">
        <w:tab/>
      </w:r>
      <w:r w:rsidR="00910A51">
        <w:t>We commit to using customer dat</w:t>
      </w:r>
      <w:r w:rsidR="00910A51" w:rsidRPr="00910A51">
        <w:t xml:space="preserve">a </w:t>
      </w:r>
      <w:r w:rsidR="00910A51">
        <w:t>and</w:t>
      </w:r>
      <w:r w:rsidR="00910A51" w:rsidRPr="00910A51">
        <w:t xml:space="preserve"> customer interactions </w:t>
      </w:r>
      <w:r w:rsidR="00F20417" w:rsidRPr="00910A51">
        <w:t>across the organisation</w:t>
      </w:r>
      <w:r w:rsidR="00910A51">
        <w:t>,</w:t>
      </w:r>
      <w:r w:rsidR="00910A51" w:rsidRPr="00910A51">
        <w:t xml:space="preserve"> as an opportunity to</w:t>
      </w:r>
      <w:r w:rsidR="00851122">
        <w:t>:</w:t>
      </w:r>
    </w:p>
    <w:p w14:paraId="185B1CB5" w14:textId="35916D66" w:rsidR="00C06124" w:rsidRDefault="00F20417" w:rsidP="00D344F7">
      <w:pPr>
        <w:pStyle w:val="ListParagraph"/>
        <w:numPr>
          <w:ilvl w:val="2"/>
          <w:numId w:val="11"/>
        </w:numPr>
        <w:spacing w:after="160" w:line="259" w:lineRule="auto"/>
        <w:jc w:val="left"/>
      </w:pPr>
      <w:r w:rsidRPr="003317BC">
        <w:rPr>
          <w:b/>
          <w:bCs/>
        </w:rPr>
        <w:t xml:space="preserve">Identify Vulnerability – </w:t>
      </w:r>
      <w:r w:rsidRPr="00F20417">
        <w:t>by ensuring our</w:t>
      </w:r>
      <w:r>
        <w:t xml:space="preserve"> staff across our teams are trained to recognise signs of potential vulnerability, such as anti-social behaviour due to mental health issues (both victim or perpetrator), repeated failure to respond to correspondence, hoarding, multiple repairs/damage, property and self-neglect, failure to meet tenancy conditions such as rent payments.</w:t>
      </w:r>
    </w:p>
    <w:p w14:paraId="2BCBECCF" w14:textId="77777777" w:rsidR="00C06124" w:rsidRDefault="00C06124" w:rsidP="00C06124">
      <w:pPr>
        <w:pStyle w:val="ListParagraph"/>
        <w:spacing w:after="160" w:line="259" w:lineRule="auto"/>
        <w:jc w:val="left"/>
      </w:pPr>
    </w:p>
    <w:p w14:paraId="6669653D" w14:textId="4FD1F019" w:rsidR="00FD7014" w:rsidRDefault="002622EC" w:rsidP="00D344F7">
      <w:pPr>
        <w:pStyle w:val="ListParagraph"/>
        <w:numPr>
          <w:ilvl w:val="2"/>
          <w:numId w:val="11"/>
        </w:numPr>
        <w:spacing w:after="160" w:line="259" w:lineRule="auto"/>
        <w:jc w:val="left"/>
      </w:pPr>
      <w:r w:rsidRPr="003317BC">
        <w:rPr>
          <w:rFonts w:cs="Arial"/>
          <w:b/>
          <w:bCs/>
        </w:rPr>
        <w:t>Record Vulnerability</w:t>
      </w:r>
      <w:r w:rsidR="00B76DA7" w:rsidRPr="003317BC">
        <w:rPr>
          <w:rFonts w:cs="Arial"/>
          <w:b/>
          <w:bCs/>
        </w:rPr>
        <w:t xml:space="preserve"> </w:t>
      </w:r>
      <w:r w:rsidR="00F20417" w:rsidRPr="003317BC">
        <w:rPr>
          <w:rFonts w:cs="Arial"/>
          <w:b/>
          <w:bCs/>
        </w:rPr>
        <w:t>–</w:t>
      </w:r>
      <w:r w:rsidR="00B76DA7" w:rsidRPr="003317BC">
        <w:rPr>
          <w:rFonts w:cs="Arial"/>
          <w:b/>
          <w:bCs/>
        </w:rPr>
        <w:t xml:space="preserve"> </w:t>
      </w:r>
      <w:r w:rsidR="00F20417" w:rsidRPr="003317BC">
        <w:rPr>
          <w:rFonts w:cs="Arial"/>
        </w:rPr>
        <w:t>As well as the customer’s equality and diversity information, w</w:t>
      </w:r>
      <w:r w:rsidR="00F20417" w:rsidRPr="003317BC">
        <w:rPr>
          <w:rFonts w:cs="Arial"/>
          <w:color w:val="000000"/>
          <w:shd w:val="clear" w:color="auto" w:fill="FFFFFF"/>
        </w:rPr>
        <w:t>e will document any known vulnerabilities, communication needs</w:t>
      </w:r>
      <w:r w:rsidR="00480B52" w:rsidRPr="003317BC">
        <w:rPr>
          <w:rFonts w:cs="Arial"/>
          <w:color w:val="000000"/>
          <w:shd w:val="clear" w:color="auto" w:fill="FFFFFF"/>
        </w:rPr>
        <w:t xml:space="preserve">/preferences and </w:t>
      </w:r>
      <w:r w:rsidR="00F20417" w:rsidRPr="003317BC">
        <w:rPr>
          <w:rFonts w:cs="Arial"/>
          <w:color w:val="000000"/>
          <w:shd w:val="clear" w:color="auto" w:fill="FFFFFF"/>
        </w:rPr>
        <w:t>access requirements, along with the contact details of any authorised representatives, on our housing management system.</w:t>
      </w:r>
    </w:p>
    <w:p w14:paraId="1F28B729" w14:textId="6F56DF25" w:rsidR="00C06124" w:rsidRDefault="002622EC" w:rsidP="00C06124">
      <w:pPr>
        <w:ind w:left="720"/>
        <w:jc w:val="left"/>
      </w:pPr>
      <w:r w:rsidRPr="008417A0">
        <w:t xml:space="preserve">Safeguarding concerns will be addressed in line with our Safeguarding </w:t>
      </w:r>
      <w:r w:rsidR="008417A0" w:rsidRPr="008417A0">
        <w:t>procedures</w:t>
      </w:r>
      <w:r w:rsidRPr="008417A0">
        <w:t>,</w:t>
      </w:r>
      <w:r>
        <w:t xml:space="preserve"> ensuring relevant </w:t>
      </w:r>
      <w:r w:rsidR="00B76DA7">
        <w:t>statutory agencies</w:t>
      </w:r>
      <w:r>
        <w:t xml:space="preserve"> are notified.</w:t>
      </w:r>
    </w:p>
    <w:p w14:paraId="4F8E2292" w14:textId="77777777" w:rsidR="00C06124" w:rsidRDefault="00C06124" w:rsidP="00C06124">
      <w:pPr>
        <w:ind w:left="720"/>
        <w:jc w:val="left"/>
      </w:pPr>
    </w:p>
    <w:p w14:paraId="31EF82D0" w14:textId="68AF6768" w:rsidR="00F20417" w:rsidRDefault="0021733D" w:rsidP="00C06124">
      <w:pPr>
        <w:ind w:left="720" w:hanging="720"/>
        <w:jc w:val="left"/>
      </w:pPr>
      <w:r>
        <w:t>4.</w:t>
      </w:r>
      <w:r w:rsidR="003317BC">
        <w:t>3</w:t>
      </w:r>
      <w:r>
        <w:t>.3</w:t>
      </w:r>
      <w:r>
        <w:tab/>
      </w:r>
      <w:r w:rsidR="002622EC" w:rsidRPr="00C06124">
        <w:rPr>
          <w:b/>
          <w:bCs/>
        </w:rPr>
        <w:t xml:space="preserve">Reasonable Adjustments </w:t>
      </w:r>
      <w:r w:rsidR="002622EC" w:rsidRPr="00C06124">
        <w:rPr>
          <w:b/>
          <w:bCs/>
        </w:rPr>
        <w:cr/>
      </w:r>
      <w:r w:rsidR="002622EC">
        <w:cr/>
      </w:r>
      <w:r w:rsidR="00F20417">
        <w:t>We</w:t>
      </w:r>
      <w:r w:rsidR="002622EC">
        <w:t xml:space="preserve"> will </w:t>
      </w:r>
      <w:r w:rsidR="00F20417">
        <w:t>consider reasonable adjustments to</w:t>
      </w:r>
      <w:r w:rsidR="002622EC">
        <w:t xml:space="preserve"> our services to meet the needs and circumstances of vulnerable </w:t>
      </w:r>
      <w:r w:rsidR="00F20417">
        <w:t xml:space="preserve">individuals to ensure </w:t>
      </w:r>
      <w:r w:rsidR="00480B52">
        <w:t>the best</w:t>
      </w:r>
      <w:r w:rsidR="00F20417">
        <w:t xml:space="preserve"> experience of our services</w:t>
      </w:r>
      <w:r w:rsidR="002622EC">
        <w:t xml:space="preserve"> and </w:t>
      </w:r>
      <w:r w:rsidR="00F20417">
        <w:t xml:space="preserve">help them to </w:t>
      </w:r>
      <w:r w:rsidR="002622EC">
        <w:t xml:space="preserve">sustain their tenancy. </w:t>
      </w:r>
    </w:p>
    <w:p w14:paraId="0527AEE7" w14:textId="77777777" w:rsidR="00F20417" w:rsidRDefault="00F20417" w:rsidP="00F20417">
      <w:pPr>
        <w:pStyle w:val="ListParagraph"/>
        <w:ind w:left="1440"/>
        <w:jc w:val="left"/>
        <w:rPr>
          <w:b/>
          <w:bCs/>
        </w:rPr>
      </w:pPr>
    </w:p>
    <w:p w14:paraId="1E366A73" w14:textId="1391D635" w:rsidR="00F20417" w:rsidRDefault="00C06124" w:rsidP="00C06124">
      <w:pPr>
        <w:ind w:firstLine="720"/>
        <w:jc w:val="left"/>
      </w:pPr>
      <w:r>
        <w:t xml:space="preserve">Examples of </w:t>
      </w:r>
      <w:r w:rsidR="00F20417">
        <w:t>Service-specific adjustments may include</w:t>
      </w:r>
      <w:r>
        <w:t xml:space="preserve"> as appropriate</w:t>
      </w:r>
      <w:r w:rsidR="00F20417">
        <w:t>:</w:t>
      </w:r>
    </w:p>
    <w:p w14:paraId="61E176FB" w14:textId="77777777" w:rsidR="00F20417" w:rsidRDefault="00F20417" w:rsidP="00F20417">
      <w:pPr>
        <w:pStyle w:val="ListParagraph"/>
        <w:ind w:left="1440"/>
        <w:jc w:val="left"/>
      </w:pPr>
    </w:p>
    <w:p w14:paraId="198527E1" w14:textId="6F1E3B1F" w:rsidR="00480B52" w:rsidRDefault="00F20417" w:rsidP="00D344F7">
      <w:pPr>
        <w:pStyle w:val="ListParagraph"/>
        <w:numPr>
          <w:ilvl w:val="2"/>
          <w:numId w:val="8"/>
        </w:numPr>
        <w:ind w:left="1418" w:hanging="284"/>
        <w:jc w:val="left"/>
      </w:pPr>
      <w:r>
        <w:t xml:space="preserve">Tenancy support team to offer </w:t>
      </w:r>
      <w:r w:rsidR="002622EC">
        <w:t>short-term intensive support</w:t>
      </w:r>
      <w:r w:rsidR="00480B52">
        <w:t xml:space="preserve"> – with tenancy-related or </w:t>
      </w:r>
      <w:r w:rsidR="0021733D">
        <w:t>low-level</w:t>
      </w:r>
      <w:r w:rsidR="00480B52">
        <w:t xml:space="preserve"> mental health issues</w:t>
      </w:r>
      <w:r w:rsidR="002622EC">
        <w:t>, alongside robust safeguarding referral processes.</w:t>
      </w:r>
    </w:p>
    <w:p w14:paraId="43CAC340" w14:textId="77777777" w:rsidR="00C06124" w:rsidRDefault="00C06124" w:rsidP="00C06124">
      <w:pPr>
        <w:pStyle w:val="ListParagraph"/>
        <w:ind w:left="1418"/>
        <w:jc w:val="left"/>
      </w:pPr>
    </w:p>
    <w:p w14:paraId="64F2036B" w14:textId="5892F9C7" w:rsidR="00480B52" w:rsidRDefault="002622EC" w:rsidP="00D344F7">
      <w:pPr>
        <w:pStyle w:val="ListParagraph"/>
        <w:numPr>
          <w:ilvl w:val="2"/>
          <w:numId w:val="8"/>
        </w:numPr>
        <w:ind w:left="1418" w:hanging="284"/>
        <w:jc w:val="left"/>
      </w:pPr>
      <w:r>
        <w:t>Allowing more time for a customer to answer the door</w:t>
      </w:r>
      <w:r w:rsidR="00480B52">
        <w:t xml:space="preserve"> when visiting</w:t>
      </w:r>
      <w:r>
        <w:t>.</w:t>
      </w:r>
    </w:p>
    <w:p w14:paraId="1AFF5C42" w14:textId="77777777" w:rsidR="00C06124" w:rsidRDefault="00C06124" w:rsidP="00C06124">
      <w:pPr>
        <w:pStyle w:val="ListParagraph"/>
      </w:pPr>
    </w:p>
    <w:p w14:paraId="5326952C" w14:textId="53CF28CB" w:rsidR="00480B52" w:rsidRDefault="002622EC" w:rsidP="00D344F7">
      <w:pPr>
        <w:pStyle w:val="ListParagraph"/>
        <w:numPr>
          <w:ilvl w:val="2"/>
          <w:numId w:val="8"/>
        </w:numPr>
        <w:ind w:left="1418" w:hanging="284"/>
        <w:jc w:val="left"/>
      </w:pPr>
      <w:r>
        <w:t>Arranging joint visits with support workers or representatives</w:t>
      </w:r>
      <w:r w:rsidR="00C06124">
        <w:t>.</w:t>
      </w:r>
    </w:p>
    <w:p w14:paraId="1F02424D" w14:textId="77777777" w:rsidR="00C06124" w:rsidRDefault="00C06124" w:rsidP="00C06124">
      <w:pPr>
        <w:pStyle w:val="ListParagraph"/>
      </w:pPr>
    </w:p>
    <w:p w14:paraId="65D227F7" w14:textId="49D61ECC" w:rsidR="00C06124" w:rsidRDefault="00112E9B" w:rsidP="0067318D">
      <w:pPr>
        <w:pStyle w:val="ListParagraph"/>
        <w:numPr>
          <w:ilvl w:val="2"/>
          <w:numId w:val="8"/>
        </w:numPr>
        <w:ind w:left="1418" w:hanging="284"/>
        <w:jc w:val="left"/>
      </w:pPr>
      <w:bookmarkStart w:id="6" w:name="_Hlk188358267"/>
      <w:r>
        <w:t xml:space="preserve">Taking into account how a request for a repair will impact on a vulnerable person when prioritising </w:t>
      </w:r>
      <w:bookmarkEnd w:id="6"/>
      <w:r w:rsidR="00213AE8">
        <w:t>repairs.</w:t>
      </w:r>
    </w:p>
    <w:p w14:paraId="6EEA5170" w14:textId="77777777" w:rsidR="00E62E8D" w:rsidRDefault="00E62E8D" w:rsidP="00E62E8D">
      <w:pPr>
        <w:jc w:val="left"/>
      </w:pPr>
    </w:p>
    <w:p w14:paraId="62B0CE7E" w14:textId="77777777" w:rsidR="00480B52" w:rsidRDefault="002622EC" w:rsidP="00D344F7">
      <w:pPr>
        <w:pStyle w:val="ListParagraph"/>
        <w:numPr>
          <w:ilvl w:val="2"/>
          <w:numId w:val="8"/>
        </w:numPr>
        <w:ind w:left="1418" w:hanging="284"/>
        <w:jc w:val="left"/>
      </w:pPr>
      <w:r>
        <w:t>Escalating remedial processes for damp and mould reports involving vulnerable tenants.</w:t>
      </w:r>
    </w:p>
    <w:p w14:paraId="52522B28" w14:textId="77777777" w:rsidR="00C06124" w:rsidRDefault="00C06124" w:rsidP="00C06124">
      <w:pPr>
        <w:pStyle w:val="ListParagraph"/>
      </w:pPr>
    </w:p>
    <w:p w14:paraId="5A4670B6" w14:textId="77777777" w:rsidR="00480B52" w:rsidRDefault="002622EC" w:rsidP="00D344F7">
      <w:pPr>
        <w:pStyle w:val="ListParagraph"/>
        <w:numPr>
          <w:ilvl w:val="2"/>
          <w:numId w:val="8"/>
        </w:numPr>
        <w:ind w:left="1418" w:hanging="284"/>
        <w:jc w:val="left"/>
      </w:pPr>
      <w:r>
        <w:t xml:space="preserve">Providing in-person </w:t>
      </w:r>
      <w:r w:rsidR="00480B52">
        <w:t xml:space="preserve">or telephone </w:t>
      </w:r>
      <w:r>
        <w:t xml:space="preserve">explanations </w:t>
      </w:r>
      <w:r w:rsidR="00480B52">
        <w:t>of letters</w:t>
      </w:r>
    </w:p>
    <w:p w14:paraId="11821236" w14:textId="77777777" w:rsidR="00C06124" w:rsidRDefault="00C06124" w:rsidP="00C06124">
      <w:pPr>
        <w:pStyle w:val="ListParagraph"/>
      </w:pPr>
    </w:p>
    <w:p w14:paraId="026B7E4F" w14:textId="77777777" w:rsidR="00480B52" w:rsidRDefault="002622EC" w:rsidP="00D344F7">
      <w:pPr>
        <w:pStyle w:val="ListParagraph"/>
        <w:numPr>
          <w:ilvl w:val="2"/>
          <w:numId w:val="8"/>
        </w:numPr>
        <w:ind w:left="1418" w:hanging="284"/>
        <w:jc w:val="left"/>
      </w:pPr>
      <w:r>
        <w:t>Offering support to perpetrators of anti-social behaviour before enforcement.</w:t>
      </w:r>
    </w:p>
    <w:p w14:paraId="1B5B5C94" w14:textId="77777777" w:rsidR="00C06124" w:rsidRDefault="00C06124" w:rsidP="00C06124">
      <w:pPr>
        <w:pStyle w:val="ListParagraph"/>
      </w:pPr>
    </w:p>
    <w:p w14:paraId="59EFC970" w14:textId="520A3899" w:rsidR="00480B52" w:rsidRDefault="003B3090" w:rsidP="00D344F7">
      <w:pPr>
        <w:pStyle w:val="ListParagraph"/>
        <w:numPr>
          <w:ilvl w:val="2"/>
          <w:numId w:val="8"/>
        </w:numPr>
        <w:ind w:left="1418" w:hanging="284"/>
        <w:jc w:val="left"/>
      </w:pPr>
      <w:r>
        <w:t>Where appropriate, s</w:t>
      </w:r>
      <w:r w:rsidR="002622EC">
        <w:t>eeking civil remedies or injunctions rather than eviction</w:t>
      </w:r>
      <w:r>
        <w:t>,</w:t>
      </w:r>
      <w:r w:rsidR="002622EC">
        <w:t xml:space="preserve"> for vulnerable individuals.</w:t>
      </w:r>
    </w:p>
    <w:p w14:paraId="0703BACF" w14:textId="77777777" w:rsidR="00C06124" w:rsidRDefault="00C06124" w:rsidP="00C06124">
      <w:pPr>
        <w:pStyle w:val="ListParagraph"/>
      </w:pPr>
    </w:p>
    <w:p w14:paraId="34BC0E70" w14:textId="77777777" w:rsidR="00480B52" w:rsidRDefault="002622EC" w:rsidP="00D344F7">
      <w:pPr>
        <w:pStyle w:val="ListParagraph"/>
        <w:numPr>
          <w:ilvl w:val="2"/>
          <w:numId w:val="8"/>
        </w:numPr>
        <w:ind w:left="1418" w:hanging="284"/>
        <w:jc w:val="left"/>
      </w:pPr>
      <w:r>
        <w:t>Providing welfare benefits and money advice for vulnerable tenants in rent arrears.</w:t>
      </w:r>
    </w:p>
    <w:p w14:paraId="24ACB353" w14:textId="77777777" w:rsidR="00C06124" w:rsidRDefault="00C06124" w:rsidP="00C06124">
      <w:pPr>
        <w:pStyle w:val="ListParagraph"/>
      </w:pPr>
    </w:p>
    <w:p w14:paraId="182CCCFD" w14:textId="4D8FA3E3" w:rsidR="004640D2" w:rsidRPr="000926FA" w:rsidRDefault="002622EC" w:rsidP="000926FA">
      <w:pPr>
        <w:pStyle w:val="ListParagraph"/>
        <w:numPr>
          <w:ilvl w:val="2"/>
          <w:numId w:val="8"/>
        </w:numPr>
        <w:ind w:left="1418" w:hanging="284"/>
        <w:jc w:val="left"/>
      </w:pPr>
      <w:bookmarkStart w:id="7" w:name="_Hlk188358224"/>
      <w:r w:rsidRPr="000926FA">
        <w:t xml:space="preserve">Making provisions for </w:t>
      </w:r>
      <w:r w:rsidR="000926FA" w:rsidRPr="000926FA">
        <w:t xml:space="preserve">vulnerable tenants for issues they cannot manage, for example </w:t>
      </w:r>
      <w:r w:rsidR="00480B52" w:rsidRPr="000926FA">
        <w:t>moving furniture</w:t>
      </w:r>
      <w:r w:rsidR="00C06124" w:rsidRPr="000926FA">
        <w:t xml:space="preserve"> </w:t>
      </w:r>
      <w:r w:rsidR="000926FA" w:rsidRPr="000926FA">
        <w:t xml:space="preserve">pre-post repair or </w:t>
      </w:r>
      <w:r w:rsidR="00C06124" w:rsidRPr="000926FA">
        <w:t xml:space="preserve">day rooms </w:t>
      </w:r>
      <w:r w:rsidR="000926FA" w:rsidRPr="000926FA">
        <w:t>for disturbance wo</w:t>
      </w:r>
      <w:r w:rsidR="000926FA" w:rsidRPr="000926FA">
        <w:rPr>
          <w:color w:val="000000" w:themeColor="text1"/>
        </w:rPr>
        <w:t xml:space="preserve">rks, removals for transfer or downsizing </w:t>
      </w:r>
      <w:r w:rsidR="00C06124" w:rsidRPr="000926FA">
        <w:rPr>
          <w:color w:val="000000" w:themeColor="text1"/>
        </w:rPr>
        <w:t>use</w:t>
      </w:r>
      <w:r w:rsidR="00480B52" w:rsidRPr="000926FA">
        <w:rPr>
          <w:color w:val="000000" w:themeColor="text1"/>
        </w:rPr>
        <w:t xml:space="preserve"> etc.</w:t>
      </w:r>
      <w:r w:rsidR="00112E9B" w:rsidRPr="000926FA">
        <w:rPr>
          <w:color w:val="000000" w:themeColor="text1"/>
        </w:rPr>
        <w:t xml:space="preserve"> </w:t>
      </w:r>
      <w:r w:rsidR="000926FA" w:rsidRPr="000926FA">
        <w:rPr>
          <w:color w:val="000000" w:themeColor="text1"/>
        </w:rPr>
        <w:t>The assistance could be practical or financial such as accessing grants and funds to assist.</w:t>
      </w:r>
    </w:p>
    <w:bookmarkEnd w:id="7"/>
    <w:p w14:paraId="779B7CBD" w14:textId="77777777" w:rsidR="00910A51" w:rsidRDefault="00910A51" w:rsidP="00910A51">
      <w:pPr>
        <w:pStyle w:val="ListParagraph"/>
      </w:pPr>
    </w:p>
    <w:p w14:paraId="04084836" w14:textId="77777777" w:rsidR="003317BC" w:rsidRDefault="0021733D" w:rsidP="004640D2">
      <w:pPr>
        <w:ind w:left="720" w:hanging="720"/>
        <w:jc w:val="left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2622EC" w:rsidRPr="004640D2">
        <w:rPr>
          <w:b/>
          <w:bCs/>
        </w:rPr>
        <w:t>Tenants Lacking Capacity</w:t>
      </w:r>
    </w:p>
    <w:p w14:paraId="09B03724" w14:textId="77777777" w:rsidR="003317BC" w:rsidRDefault="003317BC" w:rsidP="003317BC">
      <w:pPr>
        <w:jc w:val="left"/>
        <w:rPr>
          <w:b/>
          <w:bCs/>
        </w:rPr>
      </w:pPr>
    </w:p>
    <w:p w14:paraId="0ADA3EB1" w14:textId="371CB8AB" w:rsidR="002622EC" w:rsidRDefault="003317BC" w:rsidP="003317BC">
      <w:pPr>
        <w:ind w:left="720" w:hanging="720"/>
        <w:jc w:val="left"/>
      </w:pPr>
      <w:r w:rsidRPr="003317BC">
        <w:t>5.1</w:t>
      </w:r>
      <w:r>
        <w:rPr>
          <w:b/>
          <w:bCs/>
        </w:rPr>
        <w:tab/>
      </w:r>
      <w:r w:rsidR="00480B52" w:rsidRPr="004640D2">
        <w:rPr>
          <w:rFonts w:cs="Arial"/>
          <w:color w:val="000000"/>
          <w:shd w:val="clear" w:color="auto" w:fill="FFFFFF"/>
        </w:rPr>
        <w:t xml:space="preserve">In </w:t>
      </w:r>
      <w:r w:rsidR="00910A51">
        <w:rPr>
          <w:rFonts w:cs="Arial"/>
          <w:color w:val="000000"/>
          <w:shd w:val="clear" w:color="auto" w:fill="FFFFFF"/>
        </w:rPr>
        <w:t>accordance</w:t>
      </w:r>
      <w:r w:rsidR="00480B52" w:rsidRPr="004640D2">
        <w:rPr>
          <w:rFonts w:cs="Arial"/>
          <w:color w:val="000000"/>
          <w:shd w:val="clear" w:color="auto" w:fill="FFFFFF"/>
        </w:rPr>
        <w:t xml:space="preserve"> with the Mental Capacity Act 2005, we will liaise with legally authori</w:t>
      </w:r>
      <w:r w:rsidR="004640D2">
        <w:rPr>
          <w:rFonts w:cs="Arial"/>
          <w:color w:val="000000"/>
          <w:shd w:val="clear" w:color="auto" w:fill="FFFFFF"/>
        </w:rPr>
        <w:t>s</w:t>
      </w:r>
      <w:r w:rsidR="00480B52" w:rsidRPr="004640D2">
        <w:rPr>
          <w:rFonts w:cs="Arial"/>
          <w:color w:val="000000"/>
          <w:shd w:val="clear" w:color="auto" w:fill="FFFFFF"/>
        </w:rPr>
        <w:t xml:space="preserve">ed representatives, including those holding lasting power of attorney, deputyship orders, appointees from the Department of Work and Pensions, </w:t>
      </w:r>
      <w:r w:rsidR="004640D2">
        <w:rPr>
          <w:rFonts w:cs="Arial"/>
          <w:color w:val="000000"/>
          <w:shd w:val="clear" w:color="auto" w:fill="FFFFFF"/>
        </w:rPr>
        <w:t xml:space="preserve">as well as statutory and </w:t>
      </w:r>
      <w:r w:rsidR="00480B52" w:rsidRPr="004640D2">
        <w:rPr>
          <w:rFonts w:cs="Arial"/>
          <w:color w:val="000000"/>
          <w:shd w:val="clear" w:color="auto" w:fill="FFFFFF"/>
        </w:rPr>
        <w:t xml:space="preserve">independent mental capacity </w:t>
      </w:r>
      <w:r w:rsidR="00851122" w:rsidRPr="004640D2">
        <w:rPr>
          <w:rFonts w:cs="Arial"/>
          <w:color w:val="000000"/>
          <w:shd w:val="clear" w:color="auto" w:fill="FFFFFF"/>
        </w:rPr>
        <w:t>advocates.</w:t>
      </w:r>
    </w:p>
    <w:p w14:paraId="30F2D31F" w14:textId="77777777" w:rsidR="002622EC" w:rsidRDefault="002622EC" w:rsidP="004640D2">
      <w:pPr>
        <w:ind w:hanging="720"/>
        <w:jc w:val="left"/>
      </w:pPr>
    </w:p>
    <w:p w14:paraId="13923F32" w14:textId="0F32763B" w:rsidR="00FD7014" w:rsidRDefault="0021733D" w:rsidP="009E6CD2">
      <w:pPr>
        <w:jc w:val="left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FD7014" w:rsidRPr="007B2D8E">
        <w:rPr>
          <w:b/>
          <w:bCs/>
        </w:rPr>
        <w:t>Ownership and Responsibilities</w:t>
      </w:r>
    </w:p>
    <w:p w14:paraId="6C8F27E5" w14:textId="77777777" w:rsidR="00FD7014" w:rsidRDefault="00FD7014" w:rsidP="009E6CD2">
      <w:pPr>
        <w:jc w:val="left"/>
        <w:rPr>
          <w:b/>
          <w:bCs/>
        </w:rPr>
      </w:pPr>
    </w:p>
    <w:p w14:paraId="53D5CAFE" w14:textId="5C1E02C3" w:rsidR="00C06124" w:rsidRDefault="003317BC" w:rsidP="003317BC">
      <w:pPr>
        <w:ind w:left="720" w:hanging="720"/>
        <w:jc w:val="left"/>
        <w:rPr>
          <w:b/>
          <w:bCs/>
        </w:rPr>
      </w:pPr>
      <w:r>
        <w:rPr>
          <w:rStyle w:val="normaltextrun"/>
          <w:rFonts w:cs="Arial"/>
          <w:color w:val="000000"/>
          <w:shd w:val="clear" w:color="auto" w:fill="FFFFFF"/>
        </w:rPr>
        <w:t>6.1</w:t>
      </w:r>
      <w:r>
        <w:rPr>
          <w:rStyle w:val="normaltextrun"/>
          <w:rFonts w:cs="Arial"/>
          <w:color w:val="000000"/>
          <w:shd w:val="clear" w:color="auto" w:fill="FFFFFF"/>
        </w:rPr>
        <w:tab/>
      </w:r>
      <w:r w:rsidR="00FD7014">
        <w:rPr>
          <w:rStyle w:val="normaltextrun"/>
          <w:rFonts w:cs="Arial"/>
          <w:color w:val="000000"/>
          <w:shd w:val="clear" w:color="auto" w:fill="FFFFFF"/>
        </w:rPr>
        <w:t xml:space="preserve">The ownership and responsibility of managing the implementation and relevance of this policy will remain </w:t>
      </w:r>
      <w:r w:rsidR="00C06124">
        <w:rPr>
          <w:rStyle w:val="normaltextrun"/>
          <w:rFonts w:cs="Arial"/>
          <w:color w:val="000000"/>
          <w:shd w:val="clear" w:color="auto" w:fill="FFFFFF"/>
        </w:rPr>
        <w:t xml:space="preserve">with </w:t>
      </w:r>
      <w:r w:rsidR="00FD7014">
        <w:rPr>
          <w:rStyle w:val="normaltextrun"/>
          <w:rFonts w:cs="Arial"/>
          <w:color w:val="000000"/>
          <w:shd w:val="clear" w:color="auto" w:fill="FFFFFF"/>
        </w:rPr>
        <w:t xml:space="preserve">the Head of </w:t>
      </w:r>
      <w:r w:rsidR="004640D2">
        <w:rPr>
          <w:rStyle w:val="normaltextrun"/>
          <w:rFonts w:cs="Arial"/>
          <w:color w:val="000000"/>
          <w:shd w:val="clear" w:color="auto" w:fill="FFFFFF"/>
        </w:rPr>
        <w:t>Housing</w:t>
      </w:r>
      <w:r w:rsidR="00FD7014">
        <w:rPr>
          <w:rStyle w:val="normaltextrun"/>
          <w:rFonts w:cs="Arial"/>
          <w:color w:val="000000"/>
          <w:shd w:val="clear" w:color="auto" w:fill="FFFFFF"/>
        </w:rPr>
        <w:t xml:space="preserve"> Management.  However, the application of the policy will apply to all Service </w:t>
      </w:r>
      <w:r w:rsidR="00C06124">
        <w:rPr>
          <w:rStyle w:val="normaltextrun"/>
          <w:rFonts w:cs="Arial"/>
          <w:color w:val="000000"/>
          <w:shd w:val="clear" w:color="auto" w:fill="FFFFFF"/>
        </w:rPr>
        <w:t>a</w:t>
      </w:r>
      <w:r w:rsidR="00FD7014">
        <w:rPr>
          <w:rStyle w:val="normaltextrun"/>
          <w:rFonts w:cs="Arial"/>
          <w:color w:val="000000"/>
          <w:shd w:val="clear" w:color="auto" w:fill="FFFFFF"/>
        </w:rPr>
        <w:t xml:space="preserve">reas as feature of our service </w:t>
      </w:r>
      <w:r w:rsidR="00851122">
        <w:rPr>
          <w:rStyle w:val="normaltextrun"/>
          <w:rFonts w:cs="Arial"/>
          <w:color w:val="000000"/>
          <w:shd w:val="clear" w:color="auto" w:fill="FFFFFF"/>
        </w:rPr>
        <w:t>offer.</w:t>
      </w:r>
    </w:p>
    <w:p w14:paraId="69F0AA37" w14:textId="77777777" w:rsidR="00C06124" w:rsidRDefault="00C06124" w:rsidP="00C06124">
      <w:pPr>
        <w:jc w:val="left"/>
        <w:rPr>
          <w:b/>
          <w:bCs/>
        </w:rPr>
      </w:pPr>
    </w:p>
    <w:p w14:paraId="13E0B74D" w14:textId="1A390363" w:rsidR="00170546" w:rsidRDefault="0021733D" w:rsidP="00C06124">
      <w:pPr>
        <w:jc w:val="left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7B2D8E" w:rsidRPr="00845771">
        <w:rPr>
          <w:b/>
          <w:bCs/>
        </w:rPr>
        <w:t>Procedures</w:t>
      </w:r>
    </w:p>
    <w:p w14:paraId="468BA9E1" w14:textId="77777777" w:rsidR="00C06124" w:rsidRDefault="00C06124" w:rsidP="00C06124">
      <w:pPr>
        <w:jc w:val="left"/>
        <w:rPr>
          <w:b/>
          <w:bCs/>
        </w:rPr>
      </w:pPr>
    </w:p>
    <w:p w14:paraId="760F32BA" w14:textId="26CA28C3" w:rsidR="000926FA" w:rsidRPr="000926FA" w:rsidRDefault="0021733D" w:rsidP="000926FA">
      <w:pPr>
        <w:spacing w:after="160" w:line="259" w:lineRule="auto"/>
        <w:ind w:left="720" w:hanging="720"/>
        <w:jc w:val="left"/>
        <w:rPr>
          <w:i/>
          <w:color w:val="000000" w:themeColor="text1"/>
        </w:rPr>
      </w:pPr>
      <w:r>
        <w:t>7.1</w:t>
      </w:r>
      <w:r>
        <w:tab/>
      </w:r>
      <w:r w:rsidR="005E2D84">
        <w:t xml:space="preserve">This policy has used guidance from </w:t>
      </w:r>
      <w:r w:rsidR="00910A51">
        <w:t xml:space="preserve">a range of sources including </w:t>
      </w:r>
      <w:r w:rsidR="005E2D84">
        <w:t xml:space="preserve">the Housing Ombudsman Knowledge and Information Management spotlight report </w:t>
      </w:r>
      <w:r w:rsidR="000926FA">
        <w:rPr>
          <w:i/>
        </w:rPr>
        <w:t>‘</w:t>
      </w:r>
      <w:r w:rsidR="005E2D84">
        <w:rPr>
          <w:i/>
        </w:rPr>
        <w:t>On the record: Spotlight on Knowledge and Information management</w:t>
      </w:r>
      <w:r w:rsidR="000926FA">
        <w:rPr>
          <w:i/>
        </w:rPr>
        <w:t>’</w:t>
      </w:r>
      <w:r w:rsidR="005E2D84">
        <w:t xml:space="preserve"> </w:t>
      </w:r>
      <w:r w:rsidR="000926FA">
        <w:t xml:space="preserve">and </w:t>
      </w:r>
      <w:r w:rsidR="000926FA" w:rsidRPr="000926FA">
        <w:rPr>
          <w:color w:val="000000" w:themeColor="text1"/>
        </w:rPr>
        <w:t>The Housing Ombudsman spotlight report ‘</w:t>
      </w:r>
      <w:r w:rsidR="000926FA" w:rsidRPr="000926FA">
        <w:rPr>
          <w:i/>
          <w:iCs/>
          <w:color w:val="000000" w:themeColor="text1"/>
        </w:rPr>
        <w:t xml:space="preserve">Attitudes, rights and </w:t>
      </w:r>
      <w:r w:rsidR="00213AE8" w:rsidRPr="000926FA">
        <w:rPr>
          <w:i/>
          <w:iCs/>
          <w:color w:val="000000" w:themeColor="text1"/>
        </w:rPr>
        <w:t>respect’.</w:t>
      </w:r>
    </w:p>
    <w:p w14:paraId="5F8D6849" w14:textId="77777777" w:rsidR="0021733D" w:rsidRDefault="0021733D" w:rsidP="005E2D84">
      <w:pPr>
        <w:ind w:left="720" w:right="161"/>
      </w:pPr>
    </w:p>
    <w:p w14:paraId="4FD439AF" w14:textId="4A7E8F63" w:rsidR="005E2D84" w:rsidRPr="008417A0" w:rsidRDefault="0021733D" w:rsidP="0070122D">
      <w:pPr>
        <w:spacing w:after="160" w:line="259" w:lineRule="auto"/>
        <w:ind w:left="720" w:hanging="720"/>
        <w:jc w:val="left"/>
        <w:rPr>
          <w:i/>
          <w:color w:val="000000" w:themeColor="text1"/>
        </w:rPr>
      </w:pPr>
      <w:r>
        <w:t>7.2</w:t>
      </w:r>
      <w:r>
        <w:tab/>
      </w:r>
      <w:r w:rsidR="005E2D84">
        <w:t xml:space="preserve">Procedures </w:t>
      </w:r>
      <w:r>
        <w:t>develop</w:t>
      </w:r>
      <w:r w:rsidR="00851122">
        <w:t>ed</w:t>
      </w:r>
      <w:r>
        <w:t xml:space="preserve"> to </w:t>
      </w:r>
      <w:r w:rsidR="005E2D84">
        <w:t>support this Policy</w:t>
      </w:r>
      <w:r>
        <w:t xml:space="preserve"> </w:t>
      </w:r>
      <w:r w:rsidR="00851122">
        <w:t>will</w:t>
      </w:r>
      <w:r w:rsidR="005E2D84">
        <w:t xml:space="preserve"> consider </w:t>
      </w:r>
      <w:r>
        <w:t>r</w:t>
      </w:r>
      <w:r w:rsidR="005E2D84">
        <w:t>ecommendations contained in</w:t>
      </w:r>
      <w:r w:rsidR="006B0512">
        <w:t xml:space="preserve"> two</w:t>
      </w:r>
      <w:r w:rsidR="005E2D84">
        <w:t xml:space="preserve"> </w:t>
      </w:r>
      <w:r w:rsidR="006B0512">
        <w:t>Ombudsman’s Spotlight Reports ‘</w:t>
      </w:r>
      <w:r w:rsidR="006B0512" w:rsidRPr="000926FA">
        <w:rPr>
          <w:i/>
          <w:color w:val="000000" w:themeColor="text1"/>
        </w:rPr>
        <w:t>On the record: Spotlight on Knowledge and Information management</w:t>
      </w:r>
      <w:r w:rsidR="006B0512">
        <w:rPr>
          <w:i/>
          <w:color w:val="000000" w:themeColor="text1"/>
        </w:rPr>
        <w:t xml:space="preserve">’ and </w:t>
      </w:r>
      <w:r w:rsidR="006B0512" w:rsidRPr="000926FA">
        <w:rPr>
          <w:color w:val="000000" w:themeColor="text1"/>
        </w:rPr>
        <w:t>‘</w:t>
      </w:r>
      <w:r w:rsidR="006B0512" w:rsidRPr="000926FA">
        <w:rPr>
          <w:i/>
          <w:iCs/>
          <w:color w:val="000000" w:themeColor="text1"/>
        </w:rPr>
        <w:t>Attitudes, rights and respect’</w:t>
      </w:r>
      <w:r w:rsidR="006B0512">
        <w:rPr>
          <w:i/>
          <w:color w:val="000000" w:themeColor="text1"/>
        </w:rPr>
        <w:t xml:space="preserve"> </w:t>
      </w:r>
      <w:r w:rsidR="005E2D84">
        <w:t>to:</w:t>
      </w:r>
    </w:p>
    <w:p w14:paraId="27F31AE3" w14:textId="77777777" w:rsidR="005E2D84" w:rsidRDefault="005E2D84" w:rsidP="005E2D84">
      <w:pPr>
        <w:ind w:left="720" w:right="161"/>
      </w:pPr>
    </w:p>
    <w:p w14:paraId="370E5390" w14:textId="3129FD92" w:rsidR="0021733D" w:rsidRPr="0021733D" w:rsidRDefault="00BD5B09" w:rsidP="00D344F7">
      <w:pPr>
        <w:pStyle w:val="ListParagraph"/>
        <w:numPr>
          <w:ilvl w:val="0"/>
          <w:numId w:val="6"/>
        </w:numPr>
        <w:ind w:left="1418" w:hanging="284"/>
      </w:pPr>
      <w:r>
        <w:t>Ensure the customer insight data we hold is accurate, appropriate, regularly reviewed</w:t>
      </w:r>
      <w:r w:rsidR="0021733D" w:rsidRPr="0021733D">
        <w:t xml:space="preserve"> and used in operational service delivery and strategic </w:t>
      </w:r>
      <w:r w:rsidR="00851122" w:rsidRPr="0021733D">
        <w:t>decision-making.</w:t>
      </w:r>
    </w:p>
    <w:p w14:paraId="6CFD4D5D" w14:textId="4AEFBD5D" w:rsidR="005E2D84" w:rsidRDefault="005E2D84" w:rsidP="00D344F7">
      <w:pPr>
        <w:numPr>
          <w:ilvl w:val="0"/>
          <w:numId w:val="6"/>
        </w:numPr>
        <w:spacing w:after="26" w:line="249" w:lineRule="auto"/>
        <w:ind w:left="1418" w:right="161" w:hanging="284"/>
      </w:pPr>
      <w:r>
        <w:t xml:space="preserve">Ensure relevant staff are </w:t>
      </w:r>
      <w:r w:rsidR="00E62605">
        <w:t>appropriately</w:t>
      </w:r>
      <w:r>
        <w:t xml:space="preserve"> trained to recognise and respond positively to the needs of vulnerable customers. </w:t>
      </w:r>
    </w:p>
    <w:p w14:paraId="4C8DDF79" w14:textId="2875C3DD" w:rsidR="005E2D84" w:rsidRDefault="005E2D84" w:rsidP="00D344F7">
      <w:pPr>
        <w:numPr>
          <w:ilvl w:val="0"/>
          <w:numId w:val="6"/>
        </w:numPr>
        <w:spacing w:after="65" w:line="249" w:lineRule="auto"/>
        <w:ind w:left="1418" w:right="161" w:hanging="284"/>
      </w:pPr>
      <w:r>
        <w:t xml:space="preserve">Ensure each policy review captures how it can accommodate vulnerability needs.  </w:t>
      </w:r>
    </w:p>
    <w:p w14:paraId="79C2F401" w14:textId="71585C72" w:rsidR="005E2D84" w:rsidRDefault="005E2D84" w:rsidP="00D344F7">
      <w:pPr>
        <w:numPr>
          <w:ilvl w:val="0"/>
          <w:numId w:val="6"/>
        </w:numPr>
        <w:spacing w:line="249" w:lineRule="auto"/>
        <w:ind w:left="1418" w:right="161" w:hanging="284"/>
      </w:pPr>
      <w:r>
        <w:t xml:space="preserve">Explore the potential for using insight data. For example, in extreme weather conditions or as part of our business continuity planning process. </w:t>
      </w:r>
    </w:p>
    <w:p w14:paraId="5A46AF3E" w14:textId="77777777" w:rsidR="000926FA" w:rsidRDefault="000926FA" w:rsidP="005E2D84">
      <w:pPr>
        <w:jc w:val="left"/>
        <w:rPr>
          <w:b/>
          <w:bCs/>
        </w:rPr>
      </w:pPr>
    </w:p>
    <w:p w14:paraId="430CA7B3" w14:textId="1A9B7E3D" w:rsidR="00C27024" w:rsidRDefault="0021733D" w:rsidP="005E2D84">
      <w:pPr>
        <w:jc w:val="left"/>
      </w:pPr>
      <w:r>
        <w:rPr>
          <w:b/>
          <w:bCs/>
        </w:rPr>
        <w:lastRenderedPageBreak/>
        <w:t>8</w:t>
      </w:r>
      <w:r w:rsidR="009C2857" w:rsidRPr="00012F0E">
        <w:rPr>
          <w:b/>
          <w:bCs/>
        </w:rPr>
        <w:t>.</w:t>
      </w:r>
      <w:r w:rsidR="009C2857" w:rsidRPr="00012F0E">
        <w:rPr>
          <w:b/>
          <w:bCs/>
        </w:rPr>
        <w:tab/>
        <w:t>Monitoring, Compliance and Effective</w:t>
      </w:r>
      <w:r w:rsidR="005E2D84">
        <w:rPr>
          <w:b/>
          <w:bCs/>
        </w:rPr>
        <w:t xml:space="preserve"> </w:t>
      </w:r>
      <w:r w:rsidR="002622EC" w:rsidRPr="001B211F">
        <w:rPr>
          <w:b/>
          <w:bCs/>
        </w:rPr>
        <w:t>Implementation of the Policy</w:t>
      </w:r>
      <w:r w:rsidR="002622EC">
        <w:cr/>
      </w:r>
    </w:p>
    <w:p w14:paraId="0D579D0F" w14:textId="0D188099" w:rsidR="00C27024" w:rsidRDefault="0021733D" w:rsidP="0021733D">
      <w:pPr>
        <w:ind w:left="720" w:hanging="720"/>
      </w:pPr>
      <w:r>
        <w:t xml:space="preserve">8.1 </w:t>
      </w:r>
      <w:r>
        <w:tab/>
      </w:r>
      <w:r w:rsidR="00C27024">
        <w:t>We will review this Policy regularly to ensure that it is fair, consistent, and effective and will use feedback from customer consultation, compliments and complaints to help inform any revisions.</w:t>
      </w:r>
    </w:p>
    <w:p w14:paraId="7530FF25" w14:textId="77777777" w:rsidR="00C27024" w:rsidRDefault="00C27024" w:rsidP="009E6CD2">
      <w:pPr>
        <w:ind w:firstLine="720"/>
      </w:pPr>
    </w:p>
    <w:p w14:paraId="331EA7E5" w14:textId="197B16E2" w:rsidR="00C27024" w:rsidRDefault="00C27024" w:rsidP="0021733D">
      <w:pPr>
        <w:ind w:left="720"/>
      </w:pPr>
      <w:r>
        <w:t>We will publish this Policy on our website</w:t>
      </w:r>
      <w:r w:rsidR="00851122">
        <w:t xml:space="preserve"> as part of the implementation </w:t>
      </w:r>
      <w:r>
        <w:t xml:space="preserve">and make it available to anyone who requests it. </w:t>
      </w:r>
    </w:p>
    <w:p w14:paraId="3A1BCCD1" w14:textId="77777777" w:rsidR="00C27024" w:rsidRDefault="00C27024" w:rsidP="009E6CD2">
      <w:pPr>
        <w:ind w:firstLine="720"/>
      </w:pPr>
    </w:p>
    <w:p w14:paraId="6ADC20D0" w14:textId="6B09D1D5" w:rsidR="00C27024" w:rsidRDefault="00C27024" w:rsidP="00851122">
      <w:pPr>
        <w:ind w:left="720"/>
      </w:pPr>
      <w:r>
        <w:t>We will comply with the General Data Protection Regulations (</w:t>
      </w:r>
      <w:r w:rsidRPr="00C27024">
        <w:t>Data Protection Act 2018</w:t>
      </w:r>
      <w:r>
        <w:t>) with regards how we collect and store personal data.</w:t>
      </w:r>
    </w:p>
    <w:p w14:paraId="314729C4" w14:textId="77777777" w:rsidR="00213AE8" w:rsidRDefault="00213AE8" w:rsidP="00851122">
      <w:pPr>
        <w:ind w:left="720"/>
      </w:pPr>
    </w:p>
    <w:p w14:paraId="0DD18B40" w14:textId="23751476" w:rsidR="00213AE8" w:rsidRDefault="00213AE8" w:rsidP="00213AE8">
      <w:pPr>
        <w:ind w:left="720" w:hanging="720"/>
      </w:pPr>
      <w:r>
        <w:t>8.2</w:t>
      </w:r>
      <w:r>
        <w:tab/>
        <w:t xml:space="preserve">Training will be provided to staff with regards Equality and Diversity, safeguarding (Level 1) and GDPR, with more extensive safeguarding and vulnerability training provided to those staff where this is a more fundamental feature of the role. </w:t>
      </w:r>
    </w:p>
    <w:p w14:paraId="2773CA1F" w14:textId="77777777" w:rsidR="003317BC" w:rsidRPr="00012F0E" w:rsidRDefault="003317BC" w:rsidP="009E6CD2">
      <w:pPr>
        <w:jc w:val="left"/>
        <w:rPr>
          <w:b/>
          <w:bCs/>
        </w:rPr>
      </w:pPr>
    </w:p>
    <w:p w14:paraId="7844D144" w14:textId="5CA9C9CB" w:rsidR="00453DA6" w:rsidRDefault="00432D8B" w:rsidP="009E6CD2">
      <w:pPr>
        <w:jc w:val="left"/>
        <w:rPr>
          <w:b/>
          <w:bCs/>
        </w:rPr>
      </w:pPr>
      <w:r>
        <w:rPr>
          <w:b/>
          <w:bCs/>
        </w:rPr>
        <w:t>9</w:t>
      </w:r>
      <w:r w:rsidR="009C2857" w:rsidRPr="00012F0E">
        <w:rPr>
          <w:b/>
          <w:bCs/>
        </w:rPr>
        <w:t>.</w:t>
      </w:r>
      <w:r w:rsidR="009C2857" w:rsidRPr="00012F0E">
        <w:rPr>
          <w:b/>
          <w:bCs/>
        </w:rPr>
        <w:tab/>
        <w:t>Performance</w:t>
      </w:r>
    </w:p>
    <w:p w14:paraId="4E3F2113" w14:textId="77777777" w:rsidR="0021733D" w:rsidRDefault="0021733D" w:rsidP="003317BC">
      <w:pPr>
        <w:jc w:val="left"/>
        <w:rPr>
          <w:b/>
          <w:bCs/>
          <w:color w:val="FF0000"/>
        </w:rPr>
      </w:pPr>
    </w:p>
    <w:p w14:paraId="79EC64DC" w14:textId="79769B05" w:rsidR="003317BC" w:rsidRDefault="00432D8B" w:rsidP="00851122">
      <w:pPr>
        <w:ind w:left="720" w:hanging="720"/>
        <w:jc w:val="left"/>
      </w:pPr>
      <w:r>
        <w:t>9</w:t>
      </w:r>
      <w:r w:rsidR="003317BC" w:rsidRPr="003317BC">
        <w:t>.1</w:t>
      </w:r>
      <w:r w:rsidR="003317BC" w:rsidRPr="003317BC">
        <w:tab/>
      </w:r>
      <w:r w:rsidR="00FA521C">
        <w:t xml:space="preserve">We will monitor this policy in the following </w:t>
      </w:r>
      <w:r w:rsidR="00213AE8">
        <w:t>ways.</w:t>
      </w:r>
    </w:p>
    <w:p w14:paraId="608BD321" w14:textId="77777777" w:rsidR="00FA521C" w:rsidRDefault="00FA521C" w:rsidP="00851122">
      <w:pPr>
        <w:ind w:left="720" w:hanging="720"/>
        <w:jc w:val="left"/>
      </w:pPr>
    </w:p>
    <w:p w14:paraId="47F40A54" w14:textId="0BCD32DD" w:rsidR="00FA521C" w:rsidRDefault="00FA521C" w:rsidP="008417A0">
      <w:pPr>
        <w:pStyle w:val="ListParagraph"/>
        <w:numPr>
          <w:ilvl w:val="0"/>
          <w:numId w:val="14"/>
        </w:numPr>
        <w:ind w:left="1418" w:hanging="284"/>
        <w:jc w:val="left"/>
      </w:pPr>
      <w:r>
        <w:t xml:space="preserve">Annual EDI report to Board </w:t>
      </w:r>
    </w:p>
    <w:p w14:paraId="633BD5B3" w14:textId="5A25025A" w:rsidR="00FA521C" w:rsidRDefault="00FA521C" w:rsidP="008417A0">
      <w:pPr>
        <w:pStyle w:val="ListParagraph"/>
        <w:numPr>
          <w:ilvl w:val="0"/>
          <w:numId w:val="14"/>
        </w:numPr>
        <w:ind w:left="1418" w:hanging="284"/>
        <w:jc w:val="left"/>
      </w:pPr>
      <w:r>
        <w:t xml:space="preserve">Annual vulnerability report to Board </w:t>
      </w:r>
    </w:p>
    <w:p w14:paraId="472E0B5D" w14:textId="58D82E21" w:rsidR="00FA521C" w:rsidRDefault="00FA521C" w:rsidP="008417A0">
      <w:pPr>
        <w:pStyle w:val="ListParagraph"/>
        <w:numPr>
          <w:ilvl w:val="0"/>
          <w:numId w:val="14"/>
        </w:numPr>
        <w:ind w:left="1418" w:hanging="284"/>
        <w:jc w:val="left"/>
      </w:pPr>
      <w:r>
        <w:t xml:space="preserve">Annual Safeguarding report to Board </w:t>
      </w:r>
    </w:p>
    <w:p w14:paraId="46AE744E" w14:textId="786E965B" w:rsidR="00FA521C" w:rsidRDefault="00FA521C" w:rsidP="008417A0">
      <w:pPr>
        <w:pStyle w:val="ListParagraph"/>
        <w:numPr>
          <w:ilvl w:val="0"/>
          <w:numId w:val="14"/>
        </w:numPr>
        <w:ind w:left="1418" w:hanging="284"/>
        <w:jc w:val="left"/>
      </w:pPr>
      <w:r>
        <w:t xml:space="preserve">Analysis of complaints </w:t>
      </w:r>
    </w:p>
    <w:p w14:paraId="5E6DFBB0" w14:textId="458B1041" w:rsidR="00FA521C" w:rsidRDefault="00FA521C" w:rsidP="008417A0">
      <w:pPr>
        <w:pStyle w:val="ListParagraph"/>
        <w:numPr>
          <w:ilvl w:val="0"/>
          <w:numId w:val="14"/>
        </w:numPr>
        <w:ind w:left="1418" w:hanging="284"/>
        <w:jc w:val="left"/>
      </w:pPr>
      <w:r>
        <w:t>Analysis of Tenant Satisfaction Measures</w:t>
      </w:r>
    </w:p>
    <w:p w14:paraId="7B1F28F7" w14:textId="02FB565F" w:rsidR="00FA521C" w:rsidRDefault="00FA521C" w:rsidP="008417A0">
      <w:pPr>
        <w:pStyle w:val="ListParagraph"/>
        <w:numPr>
          <w:ilvl w:val="0"/>
          <w:numId w:val="14"/>
        </w:numPr>
        <w:ind w:left="1418" w:hanging="284"/>
        <w:jc w:val="left"/>
      </w:pPr>
      <w:r>
        <w:t xml:space="preserve">Analysis of Tenant Satisfaction Transactional Surveys </w:t>
      </w:r>
    </w:p>
    <w:p w14:paraId="72213CF1" w14:textId="7F2D3C4C" w:rsidR="00FA521C" w:rsidRPr="003317BC" w:rsidRDefault="00FA521C" w:rsidP="008417A0">
      <w:pPr>
        <w:pStyle w:val="ListParagraph"/>
        <w:numPr>
          <w:ilvl w:val="0"/>
          <w:numId w:val="14"/>
        </w:numPr>
        <w:ind w:left="1418" w:hanging="284"/>
        <w:jc w:val="left"/>
      </w:pPr>
      <w:r>
        <w:t xml:space="preserve">Analysis of other customer feedback </w:t>
      </w:r>
    </w:p>
    <w:p w14:paraId="1A56B95C" w14:textId="77777777" w:rsidR="00170546" w:rsidRDefault="00170546" w:rsidP="009E6CD2">
      <w:pPr>
        <w:jc w:val="left"/>
        <w:rPr>
          <w:b/>
          <w:bCs/>
        </w:rPr>
      </w:pPr>
    </w:p>
    <w:p w14:paraId="6EE67B24" w14:textId="0DBEC36D" w:rsidR="0045612D" w:rsidRDefault="00432D8B" w:rsidP="00851122">
      <w:pPr>
        <w:jc w:val="left"/>
        <w:rPr>
          <w:b/>
          <w:bCs/>
        </w:rPr>
      </w:pPr>
      <w:r>
        <w:rPr>
          <w:b/>
          <w:bCs/>
        </w:rPr>
        <w:t>10</w:t>
      </w:r>
      <w:r w:rsidR="00012F0E">
        <w:rPr>
          <w:b/>
          <w:bCs/>
        </w:rPr>
        <w:t>.</w:t>
      </w:r>
      <w:r w:rsidR="00012F0E">
        <w:rPr>
          <w:b/>
          <w:bCs/>
        </w:rPr>
        <w:tab/>
      </w:r>
      <w:r w:rsidR="0045612D" w:rsidRPr="0045612D">
        <w:rPr>
          <w:b/>
          <w:bCs/>
        </w:rPr>
        <w:t xml:space="preserve">Background </w:t>
      </w:r>
      <w:r w:rsidR="00E249BB">
        <w:rPr>
          <w:b/>
          <w:bCs/>
        </w:rPr>
        <w:t>Document</w:t>
      </w:r>
      <w:r w:rsidR="00E46346">
        <w:rPr>
          <w:b/>
          <w:bCs/>
        </w:rPr>
        <w:t>/</w:t>
      </w:r>
      <w:r w:rsidR="0045612D" w:rsidRPr="0045612D">
        <w:rPr>
          <w:b/>
          <w:bCs/>
        </w:rPr>
        <w:t>Research:</w:t>
      </w:r>
    </w:p>
    <w:p w14:paraId="7A8BBADD" w14:textId="77777777" w:rsidR="008417A0" w:rsidRPr="000926FA" w:rsidRDefault="008417A0" w:rsidP="00851122">
      <w:pPr>
        <w:jc w:val="left"/>
        <w:rPr>
          <w:b/>
          <w:bCs/>
          <w:color w:val="000000" w:themeColor="text1"/>
        </w:rPr>
      </w:pPr>
    </w:p>
    <w:p w14:paraId="0205B0A7" w14:textId="3439E458" w:rsidR="005E2D84" w:rsidRPr="000926FA" w:rsidRDefault="005E2D84" w:rsidP="00D25208">
      <w:pPr>
        <w:spacing w:after="160" w:line="259" w:lineRule="auto"/>
        <w:ind w:left="720"/>
        <w:jc w:val="left"/>
        <w:rPr>
          <w:i/>
          <w:color w:val="000000" w:themeColor="text1"/>
        </w:rPr>
      </w:pPr>
      <w:r w:rsidRPr="000926FA">
        <w:rPr>
          <w:color w:val="000000" w:themeColor="text1"/>
        </w:rPr>
        <w:t xml:space="preserve">Housing Ombudsman spotlight report </w:t>
      </w:r>
      <w:r w:rsidRPr="000926FA">
        <w:rPr>
          <w:i/>
          <w:color w:val="000000" w:themeColor="text1"/>
        </w:rPr>
        <w:t>“On the record: Spotlight on Knowledge and Information management</w:t>
      </w:r>
    </w:p>
    <w:p w14:paraId="35ED336C" w14:textId="4017055C" w:rsidR="007F4A0D" w:rsidRPr="000926FA" w:rsidRDefault="000926FA" w:rsidP="00D25208">
      <w:pPr>
        <w:spacing w:after="160" w:line="259" w:lineRule="auto"/>
        <w:ind w:left="720"/>
        <w:jc w:val="left"/>
        <w:rPr>
          <w:i/>
          <w:color w:val="000000" w:themeColor="text1"/>
        </w:rPr>
      </w:pPr>
      <w:r w:rsidRPr="000926FA">
        <w:rPr>
          <w:color w:val="000000" w:themeColor="text1"/>
        </w:rPr>
        <w:t>The Housing Ombudsman spotlight report ‘</w:t>
      </w:r>
      <w:r w:rsidRPr="000926FA">
        <w:rPr>
          <w:i/>
          <w:iCs/>
          <w:color w:val="000000" w:themeColor="text1"/>
        </w:rPr>
        <w:t>Attitudes, rights and respect’</w:t>
      </w:r>
    </w:p>
    <w:p w14:paraId="39A41610" w14:textId="77777777" w:rsidR="00D25208" w:rsidRPr="00D25208" w:rsidRDefault="00D25208" w:rsidP="00D25208">
      <w:pPr>
        <w:spacing w:after="160" w:line="259" w:lineRule="auto"/>
        <w:ind w:left="720"/>
        <w:jc w:val="left"/>
      </w:pPr>
      <w:r w:rsidRPr="00D25208">
        <w:t xml:space="preserve">Equality Act 2010: guidance - GOV.UK (www.gov.uk) </w:t>
      </w:r>
    </w:p>
    <w:p w14:paraId="66EF339C" w14:textId="77777777" w:rsidR="00D25208" w:rsidRPr="00D25208" w:rsidRDefault="00D25208" w:rsidP="00D25208">
      <w:pPr>
        <w:spacing w:after="160" w:line="259" w:lineRule="auto"/>
        <w:ind w:left="720"/>
        <w:jc w:val="left"/>
      </w:pPr>
      <w:r w:rsidRPr="00D25208">
        <w:t xml:space="preserve">Tenant Involvement and Empowerment Standard - GOV.UK (www.gov.uk) </w:t>
      </w:r>
    </w:p>
    <w:p w14:paraId="20268873" w14:textId="7A34F816" w:rsidR="002622EC" w:rsidRPr="008417A0" w:rsidRDefault="00D25208" w:rsidP="00D25208">
      <w:pPr>
        <w:spacing w:after="160" w:line="259" w:lineRule="auto"/>
        <w:jc w:val="left"/>
        <w:rPr>
          <w:rFonts w:cs="Arial"/>
        </w:rPr>
      </w:pPr>
      <w:r>
        <w:rPr>
          <w:b/>
          <w:bCs/>
        </w:rPr>
        <w:tab/>
      </w:r>
      <w:r w:rsidR="002622EC" w:rsidRPr="008417A0">
        <w:rPr>
          <w:rFonts w:cs="Arial"/>
        </w:rPr>
        <w:t>This pol</w:t>
      </w:r>
      <w:r w:rsidR="00D344F7" w:rsidRPr="008417A0">
        <w:rPr>
          <w:rFonts w:cs="Arial"/>
        </w:rPr>
        <w:t>ic</w:t>
      </w:r>
      <w:r w:rsidR="002622EC" w:rsidRPr="008417A0">
        <w:rPr>
          <w:rFonts w:cs="Arial"/>
        </w:rPr>
        <w:t>y should be read in conjunction with</w:t>
      </w:r>
    </w:p>
    <w:p w14:paraId="32C031E5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Equality, Diversity and Inclusion Policy</w:t>
      </w:r>
    </w:p>
    <w:p w14:paraId="1246E095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 xml:space="preserve">Secure Tenancy Agreement </w:t>
      </w:r>
    </w:p>
    <w:p w14:paraId="4422650F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 xml:space="preserve">Corporate Plan 2024-2028 </w:t>
      </w:r>
    </w:p>
    <w:p w14:paraId="768BBB60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 xml:space="preserve">Equality and Diversity Strategy </w:t>
      </w:r>
    </w:p>
    <w:p w14:paraId="69A0444A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CDC Allocations Policy</w:t>
      </w:r>
    </w:p>
    <w:p w14:paraId="4468B2CF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Customer Access Strategy</w:t>
      </w:r>
    </w:p>
    <w:p w14:paraId="7FA08690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Secure Tenancy Strategy</w:t>
      </w:r>
    </w:p>
    <w:p w14:paraId="4C573A92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Housing Management Policy (including ASB and Safeguarding)</w:t>
      </w:r>
    </w:p>
    <w:p w14:paraId="496EE168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 xml:space="preserve">Compliments, Comments and Complaints Policy </w:t>
      </w:r>
    </w:p>
    <w:p w14:paraId="3DCA41FA" w14:textId="77777777" w:rsid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Repairs and Maintenance Policy</w:t>
      </w:r>
    </w:p>
    <w:p w14:paraId="65850CC5" w14:textId="283BD583" w:rsidR="00213AE8" w:rsidRPr="008417A0" w:rsidRDefault="00213AE8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>
        <w:rPr>
          <w:rFonts w:cs="Arial"/>
        </w:rPr>
        <w:t>Rechargeable Works Policy</w:t>
      </w:r>
    </w:p>
    <w:p w14:paraId="1351DC94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lastRenderedPageBreak/>
        <w:t xml:space="preserve">Ad-Hoc Fencing Policy </w:t>
      </w:r>
    </w:p>
    <w:p w14:paraId="4687DB8D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Damp and Mould Policy</w:t>
      </w:r>
    </w:p>
    <w:p w14:paraId="64FE9C7E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 xml:space="preserve">Communications Strategy </w:t>
      </w:r>
    </w:p>
    <w:p w14:paraId="16C679AC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Customer Access Strategy</w:t>
      </w:r>
    </w:p>
    <w:p w14:paraId="5736848A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Fire Management Policy</w:t>
      </w:r>
    </w:p>
    <w:p w14:paraId="61877FCB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Data Smart Strategy</w:t>
      </w:r>
    </w:p>
    <w:p w14:paraId="263E6A89" w14:textId="77777777" w:rsidR="008417A0" w:rsidRP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 xml:space="preserve">ICT Strategy </w:t>
      </w:r>
    </w:p>
    <w:p w14:paraId="4389D0CD" w14:textId="77777777" w:rsidR="008417A0" w:rsidRDefault="008417A0" w:rsidP="008417A0">
      <w:pPr>
        <w:pStyle w:val="ListParagraph"/>
        <w:numPr>
          <w:ilvl w:val="0"/>
          <w:numId w:val="13"/>
        </w:numPr>
        <w:ind w:left="1418" w:hanging="425"/>
        <w:jc w:val="left"/>
        <w:rPr>
          <w:rFonts w:cs="Arial"/>
        </w:rPr>
      </w:pPr>
      <w:r w:rsidRPr="008417A0">
        <w:rPr>
          <w:rFonts w:cs="Arial"/>
        </w:rPr>
        <w:t>Domestic Abuse Policy</w:t>
      </w:r>
    </w:p>
    <w:p w14:paraId="62607EE2" w14:textId="68304BCE" w:rsidR="00213AE8" w:rsidRPr="008417A0" w:rsidRDefault="00213AE8" w:rsidP="00213AE8">
      <w:pPr>
        <w:pStyle w:val="ListParagraph"/>
        <w:ind w:left="1418"/>
        <w:jc w:val="left"/>
        <w:rPr>
          <w:rFonts w:cs="Arial"/>
        </w:rPr>
      </w:pPr>
    </w:p>
    <w:p w14:paraId="31481938" w14:textId="20821519" w:rsidR="00E62E8D" w:rsidRPr="00BD5B09" w:rsidRDefault="00E62E8D" w:rsidP="008417A0">
      <w:pPr>
        <w:pStyle w:val="ListParagraph"/>
        <w:ind w:left="1560"/>
        <w:jc w:val="left"/>
        <w:rPr>
          <w:rFonts w:cs="Arial"/>
          <w:b/>
          <w:bCs/>
          <w:highlight w:val="yellow"/>
        </w:rPr>
      </w:pPr>
    </w:p>
    <w:sectPr w:rsidR="00E62E8D" w:rsidRPr="00BD5B09" w:rsidSect="00B001B8">
      <w:headerReference w:type="default" r:id="rId14"/>
      <w:footerReference w:type="default" r:id="rId15"/>
      <w:pgSz w:w="11906" w:h="16838"/>
      <w:pgMar w:top="1152" w:right="1440" w:bottom="1152" w:left="1440" w:header="706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1C88" w14:textId="77777777" w:rsidR="00B56D6C" w:rsidRDefault="00B56D6C">
      <w:r>
        <w:separator/>
      </w:r>
    </w:p>
  </w:endnote>
  <w:endnote w:type="continuationSeparator" w:id="0">
    <w:p w14:paraId="2AC5EECC" w14:textId="77777777" w:rsidR="00B56D6C" w:rsidRDefault="00B56D6C">
      <w:r>
        <w:continuationSeparator/>
      </w:r>
    </w:p>
  </w:endnote>
  <w:endnote w:type="continuationNotice" w:id="1">
    <w:p w14:paraId="31A3F3B9" w14:textId="77777777" w:rsidR="00B56D6C" w:rsidRDefault="00B56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56"/>
      <w:gridCol w:w="2457"/>
      <w:gridCol w:w="2241"/>
      <w:gridCol w:w="2262"/>
    </w:tblGrid>
    <w:tr w:rsidR="008641E4" w14:paraId="5A2022E8" w14:textId="77777777" w:rsidTr="00BC49F9">
      <w:trPr>
        <w:trHeight w:val="290"/>
      </w:trPr>
      <w:tc>
        <w:tcPr>
          <w:tcW w:w="2113" w:type="dxa"/>
        </w:tcPr>
        <w:p w14:paraId="48F905AF" w14:textId="77777777" w:rsidR="008641E4" w:rsidRDefault="008641E4" w:rsidP="00A50FF5">
          <w:pPr>
            <w:rPr>
              <w:rFonts w:cs="Arial"/>
            </w:rPr>
          </w:pPr>
          <w:r>
            <w:rPr>
              <w:rFonts w:cs="Arial"/>
            </w:rPr>
            <w:t>Page</w:t>
          </w:r>
        </w:p>
      </w:tc>
      <w:tc>
        <w:tcPr>
          <w:tcW w:w="2520" w:type="dxa"/>
        </w:tcPr>
        <w:p w14:paraId="145BEAC9" w14:textId="77777777" w:rsidR="008641E4" w:rsidRDefault="008641E4" w:rsidP="00A50FF5">
          <w:pPr>
            <w:rPr>
              <w:rFonts w:cs="Arial"/>
            </w:rPr>
          </w:pPr>
          <w:r>
            <w:rPr>
              <w:rFonts w:cs="Arial"/>
            </w:rPr>
            <w:t>Version</w:t>
          </w:r>
        </w:p>
      </w:tc>
      <w:tc>
        <w:tcPr>
          <w:tcW w:w="2288" w:type="dxa"/>
        </w:tcPr>
        <w:p w14:paraId="254ADD30" w14:textId="77777777" w:rsidR="008641E4" w:rsidRDefault="008641E4" w:rsidP="00A50FF5">
          <w:pPr>
            <w:rPr>
              <w:rFonts w:cs="Arial"/>
            </w:rPr>
          </w:pPr>
          <w:r>
            <w:rPr>
              <w:rFonts w:cs="Arial"/>
            </w:rPr>
            <w:t>Date</w:t>
          </w:r>
        </w:p>
      </w:tc>
      <w:tc>
        <w:tcPr>
          <w:tcW w:w="2321" w:type="dxa"/>
        </w:tcPr>
        <w:p w14:paraId="44144ECF" w14:textId="77777777" w:rsidR="008641E4" w:rsidRDefault="008641E4" w:rsidP="00A50FF5">
          <w:pPr>
            <w:rPr>
              <w:rFonts w:cs="Arial"/>
            </w:rPr>
          </w:pPr>
          <w:r>
            <w:rPr>
              <w:rFonts w:cs="Arial"/>
            </w:rPr>
            <w:t>Author</w:t>
          </w:r>
        </w:p>
      </w:tc>
    </w:tr>
    <w:tr w:rsidR="008641E4" w14:paraId="1A4127E8" w14:textId="77777777" w:rsidTr="00BC49F9">
      <w:trPr>
        <w:trHeight w:val="290"/>
      </w:trPr>
      <w:tc>
        <w:tcPr>
          <w:tcW w:w="2113" w:type="dxa"/>
        </w:tcPr>
        <w:p w14:paraId="1DE7F19B" w14:textId="75FEA873" w:rsidR="008641E4" w:rsidRDefault="008641E4" w:rsidP="00A50FF5">
          <w:pPr>
            <w:rPr>
              <w:rFonts w:cs="Arial"/>
            </w:rPr>
          </w:pPr>
          <w:r>
            <w:rPr>
              <w:rStyle w:val="PageNumber"/>
              <w:rFonts w:cs="Arial"/>
              <w:lang w:val="en-US" w:eastAsia="en-GB"/>
            </w:rPr>
            <w:t xml:space="preserve">Page </w:t>
          </w:r>
          <w:r>
            <w:rPr>
              <w:rStyle w:val="PageNumber"/>
              <w:rFonts w:cs="Arial"/>
              <w:lang w:val="en-US" w:eastAsia="en-GB"/>
            </w:rPr>
            <w:fldChar w:fldCharType="begin"/>
          </w:r>
          <w:r>
            <w:rPr>
              <w:rStyle w:val="PageNumber"/>
              <w:rFonts w:cs="Arial"/>
              <w:lang w:val="en-US" w:eastAsia="en-GB"/>
            </w:rPr>
            <w:instrText xml:space="preserve"> PAGE </w:instrText>
          </w:r>
          <w:r>
            <w:rPr>
              <w:rStyle w:val="PageNumber"/>
              <w:rFonts w:cs="Arial"/>
              <w:lang w:val="en-US" w:eastAsia="en-GB"/>
            </w:rPr>
            <w:fldChar w:fldCharType="separate"/>
          </w:r>
          <w:r w:rsidR="007B68C5">
            <w:rPr>
              <w:rStyle w:val="PageNumber"/>
              <w:rFonts w:cs="Arial"/>
              <w:noProof/>
              <w:lang w:val="en-US" w:eastAsia="en-GB"/>
            </w:rPr>
            <w:t>18</w:t>
          </w:r>
          <w:r>
            <w:rPr>
              <w:rStyle w:val="PageNumber"/>
              <w:rFonts w:cs="Arial"/>
              <w:lang w:val="en-US" w:eastAsia="en-GB"/>
            </w:rPr>
            <w:fldChar w:fldCharType="end"/>
          </w:r>
          <w:r>
            <w:rPr>
              <w:rStyle w:val="PageNumber"/>
              <w:rFonts w:cs="Arial"/>
              <w:lang w:val="en-US" w:eastAsia="en-GB"/>
            </w:rPr>
            <w:t xml:space="preserve"> of </w:t>
          </w:r>
          <w:r w:rsidR="00C867DF">
            <w:rPr>
              <w:rStyle w:val="PageNumber"/>
              <w:rFonts w:cs="Arial"/>
              <w:lang w:val="en-US" w:eastAsia="en-GB"/>
            </w:rPr>
            <w:t>9</w:t>
          </w:r>
        </w:p>
      </w:tc>
      <w:tc>
        <w:tcPr>
          <w:tcW w:w="2520" w:type="dxa"/>
        </w:tcPr>
        <w:p w14:paraId="662C7A2F" w14:textId="7F28A31A" w:rsidR="008641E4" w:rsidRDefault="0007271A" w:rsidP="00A50FF5">
          <w:pPr>
            <w:rPr>
              <w:rFonts w:cs="Arial"/>
            </w:rPr>
          </w:pPr>
          <w:r>
            <w:rPr>
              <w:rFonts w:cs="Arial"/>
            </w:rPr>
            <w:t>1</w:t>
          </w:r>
        </w:p>
      </w:tc>
      <w:tc>
        <w:tcPr>
          <w:tcW w:w="2288" w:type="dxa"/>
        </w:tcPr>
        <w:p w14:paraId="535843BA" w14:textId="0FA126FF" w:rsidR="008641E4" w:rsidRDefault="00C867DF" w:rsidP="00A50FF5">
          <w:pPr>
            <w:rPr>
              <w:rFonts w:cs="Arial"/>
            </w:rPr>
          </w:pPr>
          <w:r>
            <w:rPr>
              <w:rFonts w:cs="Arial"/>
            </w:rPr>
            <w:t>Febru</w:t>
          </w:r>
          <w:r w:rsidR="0007271A">
            <w:rPr>
              <w:rFonts w:cs="Arial"/>
            </w:rPr>
            <w:t>ary 2025</w:t>
          </w:r>
        </w:p>
      </w:tc>
      <w:tc>
        <w:tcPr>
          <w:tcW w:w="2321" w:type="dxa"/>
        </w:tcPr>
        <w:p w14:paraId="7C2B0A90" w14:textId="45910702" w:rsidR="008641E4" w:rsidRDefault="0007271A" w:rsidP="00A50FF5">
          <w:pPr>
            <w:rPr>
              <w:rFonts w:cs="Arial"/>
            </w:rPr>
          </w:pPr>
          <w:r>
            <w:rPr>
              <w:rFonts w:cs="Arial"/>
            </w:rPr>
            <w:t>Jennie Daly</w:t>
          </w:r>
        </w:p>
      </w:tc>
    </w:tr>
  </w:tbl>
  <w:p w14:paraId="50A4B0D8" w14:textId="77777777" w:rsidR="008641E4" w:rsidRDefault="00864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A46" w14:textId="77777777" w:rsidR="00B56D6C" w:rsidRDefault="00B56D6C">
      <w:r>
        <w:separator/>
      </w:r>
    </w:p>
  </w:footnote>
  <w:footnote w:type="continuationSeparator" w:id="0">
    <w:p w14:paraId="07CB3278" w14:textId="77777777" w:rsidR="00B56D6C" w:rsidRDefault="00B56D6C">
      <w:r>
        <w:continuationSeparator/>
      </w:r>
    </w:p>
  </w:footnote>
  <w:footnote w:type="continuationNotice" w:id="1">
    <w:p w14:paraId="767D785C" w14:textId="77777777" w:rsidR="00B56D6C" w:rsidRDefault="00B56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55F6" w14:textId="14EE91E9" w:rsidR="00D405C1" w:rsidRDefault="00D40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D26"/>
    <w:multiLevelType w:val="hybridMultilevel"/>
    <w:tmpl w:val="4D2E75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090F"/>
    <w:multiLevelType w:val="multilevel"/>
    <w:tmpl w:val="8ACE9DF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A2FB3"/>
    <w:multiLevelType w:val="hybridMultilevel"/>
    <w:tmpl w:val="51ACA59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464F55"/>
    <w:multiLevelType w:val="multilevel"/>
    <w:tmpl w:val="80861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B1B70"/>
    <w:multiLevelType w:val="hybridMultilevel"/>
    <w:tmpl w:val="71206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0DB1"/>
    <w:multiLevelType w:val="hybridMultilevel"/>
    <w:tmpl w:val="F13C1E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52200"/>
    <w:multiLevelType w:val="hybridMultilevel"/>
    <w:tmpl w:val="168C3C08"/>
    <w:lvl w:ilvl="0" w:tplc="6F0A2C94">
      <w:start w:val="1"/>
      <w:numFmt w:val="bullet"/>
      <w:lvlText w:val="•"/>
      <w:lvlJc w:val="left"/>
      <w:pPr>
        <w:ind w:left="16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523C94">
      <w:start w:val="1"/>
      <w:numFmt w:val="bullet"/>
      <w:lvlText w:val="o"/>
      <w:lvlJc w:val="left"/>
      <w:pPr>
        <w:ind w:left="2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46E3232">
      <w:start w:val="1"/>
      <w:numFmt w:val="bullet"/>
      <w:lvlText w:val="▪"/>
      <w:lvlJc w:val="left"/>
      <w:pPr>
        <w:ind w:left="3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24BB78">
      <w:start w:val="1"/>
      <w:numFmt w:val="bullet"/>
      <w:lvlText w:val="•"/>
      <w:lvlJc w:val="left"/>
      <w:pPr>
        <w:ind w:left="3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DC03B2">
      <w:start w:val="1"/>
      <w:numFmt w:val="bullet"/>
      <w:lvlText w:val="o"/>
      <w:lvlJc w:val="left"/>
      <w:pPr>
        <w:ind w:left="4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F8D31C">
      <w:start w:val="1"/>
      <w:numFmt w:val="bullet"/>
      <w:lvlText w:val="▪"/>
      <w:lvlJc w:val="left"/>
      <w:pPr>
        <w:ind w:left="5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80E29C">
      <w:start w:val="1"/>
      <w:numFmt w:val="bullet"/>
      <w:lvlText w:val="•"/>
      <w:lvlJc w:val="left"/>
      <w:pPr>
        <w:ind w:left="5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447696">
      <w:start w:val="1"/>
      <w:numFmt w:val="bullet"/>
      <w:lvlText w:val="o"/>
      <w:lvlJc w:val="left"/>
      <w:pPr>
        <w:ind w:left="6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5432C4">
      <w:start w:val="1"/>
      <w:numFmt w:val="bullet"/>
      <w:lvlText w:val="▪"/>
      <w:lvlJc w:val="left"/>
      <w:pPr>
        <w:ind w:left="7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A0A5E4B"/>
    <w:multiLevelType w:val="multilevel"/>
    <w:tmpl w:val="EBC0E94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5682CC3"/>
    <w:multiLevelType w:val="hybridMultilevel"/>
    <w:tmpl w:val="58922A08"/>
    <w:lvl w:ilvl="0" w:tplc="D4DCBB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6D4609"/>
    <w:multiLevelType w:val="hybridMultilevel"/>
    <w:tmpl w:val="E4CC12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614"/>
    <w:multiLevelType w:val="hybridMultilevel"/>
    <w:tmpl w:val="3CE21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943ABB"/>
    <w:multiLevelType w:val="hybridMultilevel"/>
    <w:tmpl w:val="B67E79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F7CDA"/>
    <w:multiLevelType w:val="multilevel"/>
    <w:tmpl w:val="73562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621933"/>
    <w:multiLevelType w:val="hybridMultilevel"/>
    <w:tmpl w:val="6D8E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2FBC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86805">
    <w:abstractNumId w:val="5"/>
  </w:num>
  <w:num w:numId="2" w16cid:durableId="809979935">
    <w:abstractNumId w:val="0"/>
  </w:num>
  <w:num w:numId="3" w16cid:durableId="1202476477">
    <w:abstractNumId w:val="10"/>
  </w:num>
  <w:num w:numId="4" w16cid:durableId="1637685977">
    <w:abstractNumId w:val="12"/>
  </w:num>
  <w:num w:numId="5" w16cid:durableId="1135761446">
    <w:abstractNumId w:val="13"/>
  </w:num>
  <w:num w:numId="6" w16cid:durableId="1506169404">
    <w:abstractNumId w:val="6"/>
  </w:num>
  <w:num w:numId="7" w16cid:durableId="298998634">
    <w:abstractNumId w:val="8"/>
  </w:num>
  <w:num w:numId="8" w16cid:durableId="189682459">
    <w:abstractNumId w:val="9"/>
  </w:num>
  <w:num w:numId="9" w16cid:durableId="672143466">
    <w:abstractNumId w:val="3"/>
  </w:num>
  <w:num w:numId="10" w16cid:durableId="53939732">
    <w:abstractNumId w:val="1"/>
  </w:num>
  <w:num w:numId="11" w16cid:durableId="1486126186">
    <w:abstractNumId w:val="7"/>
  </w:num>
  <w:num w:numId="12" w16cid:durableId="17851394">
    <w:abstractNumId w:val="11"/>
  </w:num>
  <w:num w:numId="13" w16cid:durableId="1326856366">
    <w:abstractNumId w:val="4"/>
  </w:num>
  <w:num w:numId="14" w16cid:durableId="177656212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50"/>
    <w:rsid w:val="00010AE2"/>
    <w:rsid w:val="00012F0E"/>
    <w:rsid w:val="0002667F"/>
    <w:rsid w:val="00034080"/>
    <w:rsid w:val="00061405"/>
    <w:rsid w:val="00061D0A"/>
    <w:rsid w:val="0007271A"/>
    <w:rsid w:val="000919D6"/>
    <w:rsid w:val="000921A5"/>
    <w:rsid w:val="000926FA"/>
    <w:rsid w:val="000A2968"/>
    <w:rsid w:val="000A5E72"/>
    <w:rsid w:val="000B03F7"/>
    <w:rsid w:val="000B3C06"/>
    <w:rsid w:val="000B7CE1"/>
    <w:rsid w:val="000B7DCC"/>
    <w:rsid w:val="000D66C5"/>
    <w:rsid w:val="000E137E"/>
    <w:rsid w:val="000F36C4"/>
    <w:rsid w:val="00106975"/>
    <w:rsid w:val="00112C58"/>
    <w:rsid w:val="00112E9B"/>
    <w:rsid w:val="001142CA"/>
    <w:rsid w:val="00114CE5"/>
    <w:rsid w:val="001507E9"/>
    <w:rsid w:val="00156B5A"/>
    <w:rsid w:val="00157CB6"/>
    <w:rsid w:val="00160FF0"/>
    <w:rsid w:val="00170546"/>
    <w:rsid w:val="00174C1D"/>
    <w:rsid w:val="00176D30"/>
    <w:rsid w:val="00180169"/>
    <w:rsid w:val="00195A16"/>
    <w:rsid w:val="001A5BFF"/>
    <w:rsid w:val="001B0770"/>
    <w:rsid w:val="001C76A5"/>
    <w:rsid w:val="001D4401"/>
    <w:rsid w:val="001E39DB"/>
    <w:rsid w:val="001E5D9D"/>
    <w:rsid w:val="001E6384"/>
    <w:rsid w:val="00204B0A"/>
    <w:rsid w:val="00212E95"/>
    <w:rsid w:val="00213AE8"/>
    <w:rsid w:val="0021611D"/>
    <w:rsid w:val="0021733D"/>
    <w:rsid w:val="002203BD"/>
    <w:rsid w:val="00223196"/>
    <w:rsid w:val="00224EF5"/>
    <w:rsid w:val="002312DC"/>
    <w:rsid w:val="00244185"/>
    <w:rsid w:val="00246EA3"/>
    <w:rsid w:val="00250C80"/>
    <w:rsid w:val="00255609"/>
    <w:rsid w:val="002622EC"/>
    <w:rsid w:val="002642C9"/>
    <w:rsid w:val="00267332"/>
    <w:rsid w:val="0028126D"/>
    <w:rsid w:val="002839AE"/>
    <w:rsid w:val="00284D1F"/>
    <w:rsid w:val="00297272"/>
    <w:rsid w:val="002A0D79"/>
    <w:rsid w:val="002A3769"/>
    <w:rsid w:val="002B67EF"/>
    <w:rsid w:val="002D3E2A"/>
    <w:rsid w:val="002D669E"/>
    <w:rsid w:val="002E517D"/>
    <w:rsid w:val="002F1F91"/>
    <w:rsid w:val="00313B88"/>
    <w:rsid w:val="00313C0E"/>
    <w:rsid w:val="003317BC"/>
    <w:rsid w:val="00332D3B"/>
    <w:rsid w:val="00333B49"/>
    <w:rsid w:val="00350576"/>
    <w:rsid w:val="00352CA3"/>
    <w:rsid w:val="00353096"/>
    <w:rsid w:val="0035618B"/>
    <w:rsid w:val="00373C63"/>
    <w:rsid w:val="0037644F"/>
    <w:rsid w:val="00380974"/>
    <w:rsid w:val="00397DC9"/>
    <w:rsid w:val="003A2D02"/>
    <w:rsid w:val="003A706E"/>
    <w:rsid w:val="003B3090"/>
    <w:rsid w:val="003C6C12"/>
    <w:rsid w:val="003F5037"/>
    <w:rsid w:val="004017C5"/>
    <w:rsid w:val="004262B3"/>
    <w:rsid w:val="00432D8B"/>
    <w:rsid w:val="00444CEE"/>
    <w:rsid w:val="00444F64"/>
    <w:rsid w:val="0045080C"/>
    <w:rsid w:val="00453BC5"/>
    <w:rsid w:val="00453DA6"/>
    <w:rsid w:val="0045612D"/>
    <w:rsid w:val="004571DB"/>
    <w:rsid w:val="00463EC7"/>
    <w:rsid w:val="004640D2"/>
    <w:rsid w:val="0046442C"/>
    <w:rsid w:val="004645EA"/>
    <w:rsid w:val="0046614C"/>
    <w:rsid w:val="004744DA"/>
    <w:rsid w:val="00477A27"/>
    <w:rsid w:val="00480B52"/>
    <w:rsid w:val="00482E59"/>
    <w:rsid w:val="0049541A"/>
    <w:rsid w:val="004A71FF"/>
    <w:rsid w:val="004C32C3"/>
    <w:rsid w:val="004F7C83"/>
    <w:rsid w:val="00505EAC"/>
    <w:rsid w:val="005177CD"/>
    <w:rsid w:val="00540CA0"/>
    <w:rsid w:val="0054650C"/>
    <w:rsid w:val="00561F06"/>
    <w:rsid w:val="0056582E"/>
    <w:rsid w:val="00566128"/>
    <w:rsid w:val="005750AE"/>
    <w:rsid w:val="00580B27"/>
    <w:rsid w:val="00582FC4"/>
    <w:rsid w:val="00587EF0"/>
    <w:rsid w:val="005C598C"/>
    <w:rsid w:val="005C6B48"/>
    <w:rsid w:val="005D5F82"/>
    <w:rsid w:val="005E0C48"/>
    <w:rsid w:val="005E1970"/>
    <w:rsid w:val="005E2D84"/>
    <w:rsid w:val="00611BCE"/>
    <w:rsid w:val="00620812"/>
    <w:rsid w:val="00623983"/>
    <w:rsid w:val="0063244F"/>
    <w:rsid w:val="0065198F"/>
    <w:rsid w:val="0065223C"/>
    <w:rsid w:val="00656DEC"/>
    <w:rsid w:val="006570FF"/>
    <w:rsid w:val="00657CD0"/>
    <w:rsid w:val="00667A16"/>
    <w:rsid w:val="00682E25"/>
    <w:rsid w:val="0069047F"/>
    <w:rsid w:val="006960D8"/>
    <w:rsid w:val="00697A80"/>
    <w:rsid w:val="006A66F4"/>
    <w:rsid w:val="006A79B2"/>
    <w:rsid w:val="006B0304"/>
    <w:rsid w:val="006B0512"/>
    <w:rsid w:val="006B1230"/>
    <w:rsid w:val="006B2271"/>
    <w:rsid w:val="006B7090"/>
    <w:rsid w:val="006C2231"/>
    <w:rsid w:val="006C723B"/>
    <w:rsid w:val="006D2BCB"/>
    <w:rsid w:val="006E16DC"/>
    <w:rsid w:val="006F23FA"/>
    <w:rsid w:val="006F4B7F"/>
    <w:rsid w:val="0070122D"/>
    <w:rsid w:val="00711C24"/>
    <w:rsid w:val="007169EE"/>
    <w:rsid w:val="00717F42"/>
    <w:rsid w:val="0072395A"/>
    <w:rsid w:val="00752C7C"/>
    <w:rsid w:val="007549B8"/>
    <w:rsid w:val="007609B8"/>
    <w:rsid w:val="007735D0"/>
    <w:rsid w:val="00775DC1"/>
    <w:rsid w:val="00785E18"/>
    <w:rsid w:val="007910C5"/>
    <w:rsid w:val="00793B95"/>
    <w:rsid w:val="007A0F53"/>
    <w:rsid w:val="007B2D8E"/>
    <w:rsid w:val="007B68C5"/>
    <w:rsid w:val="007C643E"/>
    <w:rsid w:val="007D603C"/>
    <w:rsid w:val="007E3299"/>
    <w:rsid w:val="007F34FF"/>
    <w:rsid w:val="007F380E"/>
    <w:rsid w:val="007F4A0D"/>
    <w:rsid w:val="008032EA"/>
    <w:rsid w:val="00813D36"/>
    <w:rsid w:val="00815621"/>
    <w:rsid w:val="00823A99"/>
    <w:rsid w:val="00825D6E"/>
    <w:rsid w:val="00830091"/>
    <w:rsid w:val="0083179D"/>
    <w:rsid w:val="00833AEE"/>
    <w:rsid w:val="008417A0"/>
    <w:rsid w:val="00843B48"/>
    <w:rsid w:val="00847E0C"/>
    <w:rsid w:val="00851122"/>
    <w:rsid w:val="008641E4"/>
    <w:rsid w:val="008650B7"/>
    <w:rsid w:val="00865678"/>
    <w:rsid w:val="00867081"/>
    <w:rsid w:val="00871980"/>
    <w:rsid w:val="0089750C"/>
    <w:rsid w:val="008A47C2"/>
    <w:rsid w:val="008A6613"/>
    <w:rsid w:val="008B364D"/>
    <w:rsid w:val="008C2DD7"/>
    <w:rsid w:val="008C6CD9"/>
    <w:rsid w:val="008C6D2E"/>
    <w:rsid w:val="008D35F3"/>
    <w:rsid w:val="008D6EA1"/>
    <w:rsid w:val="008F6D0B"/>
    <w:rsid w:val="00903382"/>
    <w:rsid w:val="00910A51"/>
    <w:rsid w:val="00913701"/>
    <w:rsid w:val="009158DD"/>
    <w:rsid w:val="00931516"/>
    <w:rsid w:val="0093382F"/>
    <w:rsid w:val="00935D3E"/>
    <w:rsid w:val="00941731"/>
    <w:rsid w:val="009521B0"/>
    <w:rsid w:val="00954717"/>
    <w:rsid w:val="009570F9"/>
    <w:rsid w:val="009607CC"/>
    <w:rsid w:val="009616C7"/>
    <w:rsid w:val="00962754"/>
    <w:rsid w:val="00962BA9"/>
    <w:rsid w:val="00976AC3"/>
    <w:rsid w:val="0098530A"/>
    <w:rsid w:val="009944C9"/>
    <w:rsid w:val="009C1A25"/>
    <w:rsid w:val="009C2857"/>
    <w:rsid w:val="009C3436"/>
    <w:rsid w:val="009C3F0D"/>
    <w:rsid w:val="009D6619"/>
    <w:rsid w:val="009E43E8"/>
    <w:rsid w:val="009E6CD2"/>
    <w:rsid w:val="009F1808"/>
    <w:rsid w:val="009F3AA8"/>
    <w:rsid w:val="009F5D83"/>
    <w:rsid w:val="00A02A56"/>
    <w:rsid w:val="00A11AEB"/>
    <w:rsid w:val="00A50FF5"/>
    <w:rsid w:val="00A51C9E"/>
    <w:rsid w:val="00A627F5"/>
    <w:rsid w:val="00A67AFF"/>
    <w:rsid w:val="00AA081B"/>
    <w:rsid w:val="00AA30FE"/>
    <w:rsid w:val="00AA5C6A"/>
    <w:rsid w:val="00AB2814"/>
    <w:rsid w:val="00AB414F"/>
    <w:rsid w:val="00AC5553"/>
    <w:rsid w:val="00AC5637"/>
    <w:rsid w:val="00AC7815"/>
    <w:rsid w:val="00AE0805"/>
    <w:rsid w:val="00AF1C4A"/>
    <w:rsid w:val="00AF43A4"/>
    <w:rsid w:val="00AF792D"/>
    <w:rsid w:val="00B001B8"/>
    <w:rsid w:val="00B066C9"/>
    <w:rsid w:val="00B13958"/>
    <w:rsid w:val="00B231E1"/>
    <w:rsid w:val="00B239AA"/>
    <w:rsid w:val="00B2696D"/>
    <w:rsid w:val="00B30F94"/>
    <w:rsid w:val="00B43ED4"/>
    <w:rsid w:val="00B56D6C"/>
    <w:rsid w:val="00B64767"/>
    <w:rsid w:val="00B71072"/>
    <w:rsid w:val="00B76DA7"/>
    <w:rsid w:val="00B925A3"/>
    <w:rsid w:val="00B92891"/>
    <w:rsid w:val="00B942A0"/>
    <w:rsid w:val="00BA2B1F"/>
    <w:rsid w:val="00BA750E"/>
    <w:rsid w:val="00BC49F9"/>
    <w:rsid w:val="00BD5B09"/>
    <w:rsid w:val="00BD6FE8"/>
    <w:rsid w:val="00BE30AD"/>
    <w:rsid w:val="00BF0925"/>
    <w:rsid w:val="00C03E64"/>
    <w:rsid w:val="00C05F8C"/>
    <w:rsid w:val="00C06124"/>
    <w:rsid w:val="00C27024"/>
    <w:rsid w:val="00C30F26"/>
    <w:rsid w:val="00C4039F"/>
    <w:rsid w:val="00C45285"/>
    <w:rsid w:val="00C53EBF"/>
    <w:rsid w:val="00C66642"/>
    <w:rsid w:val="00C67E5C"/>
    <w:rsid w:val="00C867DF"/>
    <w:rsid w:val="00C9552F"/>
    <w:rsid w:val="00CA1ED8"/>
    <w:rsid w:val="00CA702E"/>
    <w:rsid w:val="00CC7CD8"/>
    <w:rsid w:val="00CD1B7B"/>
    <w:rsid w:val="00CD54F0"/>
    <w:rsid w:val="00CD6AB4"/>
    <w:rsid w:val="00CE051C"/>
    <w:rsid w:val="00CE4D80"/>
    <w:rsid w:val="00CE5517"/>
    <w:rsid w:val="00CE78A1"/>
    <w:rsid w:val="00CF0AE6"/>
    <w:rsid w:val="00D0092D"/>
    <w:rsid w:val="00D1493A"/>
    <w:rsid w:val="00D15194"/>
    <w:rsid w:val="00D25208"/>
    <w:rsid w:val="00D344F7"/>
    <w:rsid w:val="00D405C1"/>
    <w:rsid w:val="00D52611"/>
    <w:rsid w:val="00D5379C"/>
    <w:rsid w:val="00D70959"/>
    <w:rsid w:val="00D70FE2"/>
    <w:rsid w:val="00D85921"/>
    <w:rsid w:val="00D96114"/>
    <w:rsid w:val="00DA0FE8"/>
    <w:rsid w:val="00DA17AA"/>
    <w:rsid w:val="00DA61B9"/>
    <w:rsid w:val="00DB0F88"/>
    <w:rsid w:val="00DC2253"/>
    <w:rsid w:val="00DD2753"/>
    <w:rsid w:val="00DE380E"/>
    <w:rsid w:val="00DE6650"/>
    <w:rsid w:val="00DF75A2"/>
    <w:rsid w:val="00E02019"/>
    <w:rsid w:val="00E04519"/>
    <w:rsid w:val="00E04A75"/>
    <w:rsid w:val="00E055B3"/>
    <w:rsid w:val="00E06D77"/>
    <w:rsid w:val="00E10295"/>
    <w:rsid w:val="00E11470"/>
    <w:rsid w:val="00E212F1"/>
    <w:rsid w:val="00E249BB"/>
    <w:rsid w:val="00E268A3"/>
    <w:rsid w:val="00E4025A"/>
    <w:rsid w:val="00E4333F"/>
    <w:rsid w:val="00E45DC4"/>
    <w:rsid w:val="00E46346"/>
    <w:rsid w:val="00E52332"/>
    <w:rsid w:val="00E53CC7"/>
    <w:rsid w:val="00E62605"/>
    <w:rsid w:val="00E62E8D"/>
    <w:rsid w:val="00E644BF"/>
    <w:rsid w:val="00E6539E"/>
    <w:rsid w:val="00E70BF9"/>
    <w:rsid w:val="00E74C86"/>
    <w:rsid w:val="00E77256"/>
    <w:rsid w:val="00E7798A"/>
    <w:rsid w:val="00E80BF3"/>
    <w:rsid w:val="00E8125F"/>
    <w:rsid w:val="00E86D47"/>
    <w:rsid w:val="00E9116E"/>
    <w:rsid w:val="00E9163F"/>
    <w:rsid w:val="00E967FB"/>
    <w:rsid w:val="00EB1855"/>
    <w:rsid w:val="00EB5A58"/>
    <w:rsid w:val="00EC4C88"/>
    <w:rsid w:val="00EC4E82"/>
    <w:rsid w:val="00ED0397"/>
    <w:rsid w:val="00ED28D2"/>
    <w:rsid w:val="00ED5C65"/>
    <w:rsid w:val="00EE25E2"/>
    <w:rsid w:val="00EF37A0"/>
    <w:rsid w:val="00F10255"/>
    <w:rsid w:val="00F1186E"/>
    <w:rsid w:val="00F20417"/>
    <w:rsid w:val="00F30348"/>
    <w:rsid w:val="00F31A75"/>
    <w:rsid w:val="00F468C3"/>
    <w:rsid w:val="00F52D4B"/>
    <w:rsid w:val="00F55F77"/>
    <w:rsid w:val="00F72F34"/>
    <w:rsid w:val="00F8099B"/>
    <w:rsid w:val="00F834F3"/>
    <w:rsid w:val="00F957CF"/>
    <w:rsid w:val="00F9781C"/>
    <w:rsid w:val="00F9792C"/>
    <w:rsid w:val="00FA1121"/>
    <w:rsid w:val="00FA521C"/>
    <w:rsid w:val="00FB6F88"/>
    <w:rsid w:val="00FC0246"/>
    <w:rsid w:val="00FC7C78"/>
    <w:rsid w:val="00FD7014"/>
    <w:rsid w:val="502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6B438"/>
  <w15:docId w15:val="{5FCDE82C-7FA7-4D85-A7A6-B461AAA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26D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126D"/>
    <w:pPr>
      <w:keepNext/>
      <w:keepLines/>
      <w:spacing w:before="240" w:after="1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8126D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C78"/>
    <w:rPr>
      <w:color w:val="0000FF"/>
      <w:u w:val="single"/>
    </w:rPr>
  </w:style>
  <w:style w:type="paragraph" w:styleId="Header">
    <w:name w:val="header"/>
    <w:basedOn w:val="Normal"/>
    <w:rsid w:val="007C64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64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643E"/>
  </w:style>
  <w:style w:type="table" w:styleId="TableGrid">
    <w:name w:val="Table Grid"/>
    <w:basedOn w:val="TableNormal"/>
    <w:rsid w:val="00EB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7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7CD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28126D"/>
    <w:rPr>
      <w:rFonts w:ascii="Arial" w:eastAsiaTheme="majorEastAsia" w:hAnsi="Arial" w:cstheme="majorBidi"/>
      <w:b/>
      <w:bCs/>
      <w:i/>
      <w:sz w:val="24"/>
      <w:szCs w:val="26"/>
      <w:lang w:eastAsia="en-US"/>
    </w:rPr>
  </w:style>
  <w:style w:type="character" w:styleId="Emphasis">
    <w:name w:val="Emphasis"/>
    <w:basedOn w:val="DefaultParagraphFont"/>
    <w:rsid w:val="0028126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8126D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28126D"/>
    <w:pPr>
      <w:spacing w:before="240" w:after="24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28126D"/>
    <w:rPr>
      <w:rFonts w:ascii="Arial" w:eastAsiaTheme="majorEastAsia" w:hAnsi="Arial" w:cstheme="majorBidi"/>
      <w:b/>
      <w:spacing w:val="5"/>
      <w:kern w:val="28"/>
      <w:sz w:val="40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E268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68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68A3"/>
    <w:rPr>
      <w:rFonts w:ascii="Arial" w:hAnsi="Arial"/>
      <w:i/>
      <w:iCs/>
      <w:color w:val="000000" w:themeColor="text1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268A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E268A3"/>
    <w:rPr>
      <w:rFonts w:ascii="Arial" w:eastAsiaTheme="majorEastAsia" w:hAnsi="Arial" w:cstheme="majorBidi"/>
      <w:i/>
      <w:iCs/>
      <w:spacing w:val="15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F1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1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1C4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C4A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12F0E"/>
    <w:pPr>
      <w:spacing w:before="100" w:beforeAutospacing="1" w:after="100" w:afterAutospacing="1"/>
      <w:jc w:val="left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C53EBF"/>
  </w:style>
  <w:style w:type="paragraph" w:styleId="Revision">
    <w:name w:val="Revision"/>
    <w:hidden/>
    <w:uiPriority w:val="99"/>
    <w:semiHidden/>
    <w:rsid w:val="00332D3B"/>
    <w:rPr>
      <w:rFonts w:ascii="Arial" w:hAnsi="Arial"/>
      <w:sz w:val="24"/>
      <w:szCs w:val="24"/>
      <w:lang w:eastAsia="en-US"/>
    </w:rPr>
  </w:style>
  <w:style w:type="character" w:customStyle="1" w:styleId="cf01">
    <w:name w:val="cf01"/>
    <w:basedOn w:val="DefaultParagraphFont"/>
    <w:rsid w:val="00463EC7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444CEE"/>
    <w:pPr>
      <w:spacing w:before="100" w:beforeAutospacing="1" w:after="100" w:afterAutospacing="1"/>
      <w:jc w:val="left"/>
    </w:pPr>
    <w:rPr>
      <w:rFonts w:ascii="Times New Roman" w:hAnsi="Times New Roman"/>
      <w:lang w:eastAsia="en-GB"/>
    </w:rPr>
  </w:style>
  <w:style w:type="character" w:customStyle="1" w:styleId="eop">
    <w:name w:val="eop"/>
    <w:basedOn w:val="DefaultParagraphFont"/>
    <w:rsid w:val="00444CEE"/>
  </w:style>
  <w:style w:type="character" w:styleId="UnresolvedMention">
    <w:name w:val="Unresolved Mention"/>
    <w:basedOn w:val="DefaultParagraphFont"/>
    <w:uiPriority w:val="99"/>
    <w:semiHidden/>
    <w:unhideWhenUsed/>
    <w:rsid w:val="00D2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776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035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000CB468BC443A5D31C3DC9A658B5" ma:contentTypeVersion="7" ma:contentTypeDescription="Create a new document." ma:contentTypeScope="" ma:versionID="fc2f557f52a45c0ee77f6f4c9b834aaa">
  <xsd:schema xmlns:xsd="http://www.w3.org/2001/XMLSchema" xmlns:xs="http://www.w3.org/2001/XMLSchema" xmlns:p="http://schemas.microsoft.com/office/2006/metadata/properties" xmlns:ns2="9db25171-ad59-4a87-b668-b33a29a7c051" xmlns:ns3="55f5adf4-74f0-43ed-b2da-85ed25cb31c1" targetNamespace="http://schemas.microsoft.com/office/2006/metadata/properties" ma:root="true" ma:fieldsID="c6f3f5f168b02f3422b45160b4c56930" ns2:_="" ns3:_="">
    <xsd:import namespace="9db25171-ad59-4a87-b668-b33a29a7c051"/>
    <xsd:import namespace="55f5adf4-74f0-43ed-b2da-85ed25cb3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5171-ad59-4a87-b668-b33a29a7c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description="descriptiom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adf4-74f0-43ed-b2da-85ed25cb3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5adf4-74f0-43ed-b2da-85ed25cb31c1">
      <UserInfo>
        <DisplayName>Ashurst, Sharon</DisplayName>
        <AccountId>18</AccountId>
        <AccountType/>
      </UserInfo>
      <UserInfo>
        <DisplayName>Robson, Louise (SLHD)</DisplayName>
        <AccountId>14</AccountId>
        <AccountType/>
      </UserInfo>
      <UserInfo>
        <DisplayName>Boardman, Daniel</DisplayName>
        <AccountId>35</AccountId>
        <AccountType/>
      </UserInfo>
      <UserInfo>
        <DisplayName>Dougan, Laura</DisplayName>
        <AccountId>56</AccountId>
        <AccountType/>
      </UserInfo>
    </SharedWithUsers>
    <Notes xmlns="9db25171-ad59-4a87-b668-b33a29a7c051" xsi:nil="true"/>
  </documentManagement>
</p:properties>
</file>

<file path=customXml/itemProps1.xml><?xml version="1.0" encoding="utf-8"?>
<ds:datastoreItem xmlns:ds="http://schemas.openxmlformats.org/officeDocument/2006/customXml" ds:itemID="{7499BD94-789D-4523-A8AF-0E8FB4C40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D7569-D402-4E70-ADF6-9B47B886F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5171-ad59-4a87-b668-b33a29a7c051"/>
    <ds:schemaRef ds:uri="55f5adf4-74f0-43ed-b2da-85ed25cb3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A5C5F-C3BC-48A8-86EC-EE960B022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6929E4-9AAF-4E98-89B4-11C4B986E81B}">
  <ds:schemaRefs>
    <ds:schemaRef ds:uri="http://schemas.microsoft.com/office/2006/metadata/properties"/>
    <ds:schemaRef ds:uri="http://schemas.microsoft.com/office/infopath/2007/PartnerControls"/>
    <ds:schemaRef ds:uri="55f5adf4-74f0-43ed-b2da-85ed25cb31c1"/>
    <ds:schemaRef ds:uri="9db25171-ad59-4a87-b668-b33a29a7c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</vt:lpstr>
    </vt:vector>
  </TitlesOfParts>
  <Company>DMBC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</dc:title>
  <dc:subject/>
  <dc:creator>DMBC</dc:creator>
  <cp:keywords/>
  <dc:description/>
  <cp:lastModifiedBy>McLaughlin, Lauren</cp:lastModifiedBy>
  <cp:revision>9</cp:revision>
  <cp:lastPrinted>2022-01-31T18:17:00Z</cp:lastPrinted>
  <dcterms:created xsi:type="dcterms:W3CDTF">2025-01-22T11:05:00Z</dcterms:created>
  <dcterms:modified xsi:type="dcterms:W3CDTF">2025-03-24T11:19:00Z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0x010100980000CB468BC443A5D31C3DC9A658B5</vt:lpwstr>
  </property>
  <property fmtid="{D5CDD505-2E9C-101B-9397-08002B2CF9AE}" pid="3" name="Order">
    <vt:r8>74400</vt:r8>
  </property>
</Properties>
</file>