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81D9" w14:textId="644D47DC" w:rsidR="00657CD0" w:rsidRDefault="00657CD0" w:rsidP="00657CD0">
      <w:pPr>
        <w:rPr>
          <w:rFonts w:ascii="Arial Black" w:hAnsi="Arial Black"/>
          <w:sz w:val="40"/>
          <w:szCs w:val="40"/>
        </w:rPr>
      </w:pPr>
      <w:r>
        <w:rPr>
          <w:noProof/>
          <w:lang w:eastAsia="en-GB"/>
        </w:rPr>
        <w:drawing>
          <wp:anchor distT="0" distB="0" distL="114300" distR="114300" simplePos="0" relativeHeight="251658240" behindDoc="0" locked="0" layoutInCell="1" allowOverlap="1" wp14:anchorId="07DDEB59" wp14:editId="679A570C">
            <wp:simplePos x="0" y="0"/>
            <wp:positionH relativeFrom="column">
              <wp:posOffset>-142875</wp:posOffset>
            </wp:positionH>
            <wp:positionV relativeFrom="paragraph">
              <wp:posOffset>-192405</wp:posOffset>
            </wp:positionV>
            <wp:extent cx="1802765" cy="1682115"/>
            <wp:effectExtent l="0" t="0" r="6985" b="0"/>
            <wp:wrapSquare wrapText="bothSides"/>
            <wp:docPr id="3" name="Picture 3" descr="S:\SLHD_BAT\10. Random Docs\COLOUR SLH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SLHD_BAT\10. Random Docs\COLOUR SLH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76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E2F3" w14:textId="4DD4FE1E" w:rsidR="00657CD0" w:rsidRPr="000A5E72" w:rsidRDefault="00212E95" w:rsidP="00CD6AB4">
      <w:pPr>
        <w:pStyle w:val="Title"/>
        <w:jc w:val="left"/>
        <w:rPr>
          <w:sz w:val="32"/>
          <w:szCs w:val="32"/>
        </w:rPr>
      </w:pPr>
      <w:r>
        <w:t>NO ACCESS POLICY</w:t>
      </w:r>
    </w:p>
    <w:p w14:paraId="7B55344E" w14:textId="77777777" w:rsidR="00204B0A" w:rsidRDefault="00204B0A"/>
    <w:p w14:paraId="0EC47EBD" w14:textId="77777777" w:rsidR="00204B0A" w:rsidRDefault="00204B0A" w:rsidP="00204B0A">
      <w:pPr>
        <w:rPr>
          <w:rFonts w:ascii="Arial Black" w:hAnsi="Arial Black"/>
          <w:sz w:val="40"/>
          <w:szCs w:val="40"/>
        </w:rPr>
      </w:pPr>
    </w:p>
    <w:p w14:paraId="233EC971" w14:textId="77777777" w:rsidR="00204B0A" w:rsidRDefault="00204B0A"/>
    <w:p w14:paraId="3AC2B10B" w14:textId="77777777" w:rsidR="00204B0A" w:rsidRPr="0028126D" w:rsidRDefault="00204B0A" w:rsidP="00E268A3">
      <w:pPr>
        <w:pStyle w:val="Quote"/>
        <w:rPr>
          <w:rStyle w:val="Emphasis"/>
        </w:rPr>
      </w:pPr>
    </w:p>
    <w:p w14:paraId="5A0EC74A" w14:textId="77777777" w:rsidR="00657CD0" w:rsidRDefault="00657C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534"/>
      </w:tblGrid>
      <w:tr w:rsidR="00204B0A" w14:paraId="10D13CC7" w14:textId="77777777" w:rsidTr="00A50FF5">
        <w:trPr>
          <w:jc w:val="center"/>
        </w:trPr>
        <w:tc>
          <w:tcPr>
            <w:tcW w:w="2988" w:type="dxa"/>
          </w:tcPr>
          <w:p w14:paraId="040048FD" w14:textId="77777777" w:rsidR="00204B0A" w:rsidRPr="002B23E3" w:rsidRDefault="00204B0A" w:rsidP="000A5E72">
            <w:pPr>
              <w:spacing w:before="40" w:after="40"/>
              <w:jc w:val="left"/>
              <w:rPr>
                <w:rFonts w:cs="Arial"/>
                <w:b/>
              </w:rPr>
            </w:pPr>
            <w:r w:rsidRPr="002B23E3">
              <w:rPr>
                <w:rFonts w:cs="Arial"/>
                <w:b/>
              </w:rPr>
              <w:t>POLICY TITLE:</w:t>
            </w:r>
          </w:p>
        </w:tc>
        <w:tc>
          <w:tcPr>
            <w:tcW w:w="5534" w:type="dxa"/>
          </w:tcPr>
          <w:p w14:paraId="19FCC2FE" w14:textId="04241064" w:rsidR="00204B0A" w:rsidRPr="00CD5DFB" w:rsidRDefault="00112C58" w:rsidP="00112C58">
            <w:pPr>
              <w:pStyle w:val="Title"/>
              <w:jc w:val="left"/>
              <w:rPr>
                <w:rFonts w:cs="Arial"/>
                <w:b w:val="0"/>
              </w:rPr>
            </w:pPr>
            <w:r w:rsidRPr="002B23E3">
              <w:rPr>
                <w:rFonts w:cs="Arial"/>
                <w:sz w:val="24"/>
                <w:szCs w:val="24"/>
              </w:rPr>
              <w:t xml:space="preserve">No Access </w:t>
            </w:r>
            <w:r w:rsidR="002B23E3" w:rsidRPr="002B23E3">
              <w:rPr>
                <w:rFonts w:cs="Arial"/>
                <w:sz w:val="24"/>
                <w:szCs w:val="24"/>
              </w:rPr>
              <w:t>Policy</w:t>
            </w:r>
          </w:p>
        </w:tc>
      </w:tr>
      <w:tr w:rsidR="002669EB" w14:paraId="5CE15DB6" w14:textId="77777777" w:rsidTr="00A50FF5">
        <w:trPr>
          <w:jc w:val="center"/>
        </w:trPr>
        <w:tc>
          <w:tcPr>
            <w:tcW w:w="2988" w:type="dxa"/>
          </w:tcPr>
          <w:p w14:paraId="4615621A" w14:textId="77777777" w:rsidR="002669EB" w:rsidRPr="002B23E3" w:rsidRDefault="002669EB" w:rsidP="002669EB">
            <w:pPr>
              <w:spacing w:before="40" w:after="40"/>
              <w:jc w:val="left"/>
              <w:rPr>
                <w:rFonts w:cs="Arial"/>
                <w:b/>
              </w:rPr>
            </w:pPr>
            <w:r w:rsidRPr="002B23E3">
              <w:rPr>
                <w:rFonts w:cs="Arial"/>
                <w:b/>
              </w:rPr>
              <w:t>LEAD OFFICER:</w:t>
            </w:r>
          </w:p>
        </w:tc>
        <w:tc>
          <w:tcPr>
            <w:tcW w:w="5534" w:type="dxa"/>
          </w:tcPr>
          <w:p w14:paraId="3D61680C" w14:textId="5A4AFEF4" w:rsidR="002669EB" w:rsidRPr="00CD5DFB" w:rsidRDefault="002669EB" w:rsidP="002669EB">
            <w:pPr>
              <w:spacing w:before="40" w:after="40"/>
              <w:rPr>
                <w:rFonts w:cs="Arial"/>
                <w:b/>
              </w:rPr>
            </w:pPr>
            <w:r w:rsidRPr="00CD5DFB">
              <w:rPr>
                <w:rFonts w:cs="Arial"/>
                <w:b/>
              </w:rPr>
              <w:t>Head of Housing Management</w:t>
            </w:r>
          </w:p>
        </w:tc>
      </w:tr>
      <w:tr w:rsidR="002669EB" w14:paraId="27204DFD" w14:textId="77777777" w:rsidTr="00A50FF5">
        <w:trPr>
          <w:jc w:val="center"/>
        </w:trPr>
        <w:tc>
          <w:tcPr>
            <w:tcW w:w="2988" w:type="dxa"/>
          </w:tcPr>
          <w:p w14:paraId="4CD508A7" w14:textId="77777777" w:rsidR="002669EB" w:rsidRPr="002B23E3" w:rsidRDefault="002669EB" w:rsidP="002669EB">
            <w:pPr>
              <w:spacing w:before="40" w:after="40"/>
              <w:jc w:val="left"/>
              <w:rPr>
                <w:rFonts w:cs="Arial"/>
                <w:b/>
              </w:rPr>
            </w:pPr>
            <w:r w:rsidRPr="002B23E3">
              <w:rPr>
                <w:rFonts w:cs="Arial"/>
                <w:b/>
              </w:rPr>
              <w:t>DATE APPROVED:</w:t>
            </w:r>
          </w:p>
        </w:tc>
        <w:tc>
          <w:tcPr>
            <w:tcW w:w="5534" w:type="dxa"/>
          </w:tcPr>
          <w:p w14:paraId="23B9B9F9" w14:textId="0A23CDDC" w:rsidR="002669EB" w:rsidRPr="00CD5DFB" w:rsidRDefault="002669EB" w:rsidP="002669EB">
            <w:pPr>
              <w:spacing w:before="40" w:after="40"/>
              <w:rPr>
                <w:rFonts w:cs="Arial"/>
                <w:b/>
              </w:rPr>
            </w:pPr>
            <w:r w:rsidRPr="00CD5DFB">
              <w:rPr>
                <w:rFonts w:cs="Arial"/>
                <w:b/>
              </w:rPr>
              <w:t>February 2025</w:t>
            </w:r>
          </w:p>
        </w:tc>
      </w:tr>
      <w:tr w:rsidR="002669EB" w14:paraId="060A1940" w14:textId="77777777" w:rsidTr="00A50FF5">
        <w:trPr>
          <w:jc w:val="center"/>
        </w:trPr>
        <w:tc>
          <w:tcPr>
            <w:tcW w:w="2988" w:type="dxa"/>
          </w:tcPr>
          <w:p w14:paraId="1D5CB628" w14:textId="77777777" w:rsidR="002669EB" w:rsidRPr="002B23E3" w:rsidRDefault="002669EB" w:rsidP="002669EB">
            <w:pPr>
              <w:spacing w:before="40" w:after="40"/>
              <w:jc w:val="left"/>
              <w:rPr>
                <w:rFonts w:cs="Arial"/>
                <w:b/>
              </w:rPr>
            </w:pPr>
            <w:r w:rsidRPr="002B23E3">
              <w:rPr>
                <w:rFonts w:cs="Arial"/>
                <w:b/>
              </w:rPr>
              <w:t>APPROVED BY:</w:t>
            </w:r>
          </w:p>
        </w:tc>
        <w:tc>
          <w:tcPr>
            <w:tcW w:w="5534" w:type="dxa"/>
          </w:tcPr>
          <w:p w14:paraId="08C4EECE" w14:textId="1A9D14AA" w:rsidR="002669EB" w:rsidRPr="00CD5DFB" w:rsidRDefault="002669EB" w:rsidP="002669EB">
            <w:pPr>
              <w:spacing w:before="40" w:after="40"/>
              <w:rPr>
                <w:rFonts w:cs="Arial"/>
                <w:bCs/>
              </w:rPr>
            </w:pPr>
            <w:r w:rsidRPr="00CD5DFB">
              <w:rPr>
                <w:rFonts w:cs="Arial"/>
                <w:bCs/>
              </w:rPr>
              <w:t>SLHD Board</w:t>
            </w:r>
          </w:p>
        </w:tc>
      </w:tr>
      <w:tr w:rsidR="002669EB" w14:paraId="4E2CB2FD" w14:textId="77777777" w:rsidTr="00A50FF5">
        <w:trPr>
          <w:jc w:val="center"/>
        </w:trPr>
        <w:tc>
          <w:tcPr>
            <w:tcW w:w="2988" w:type="dxa"/>
          </w:tcPr>
          <w:p w14:paraId="4C775982" w14:textId="77777777" w:rsidR="002669EB" w:rsidRPr="002B23E3" w:rsidRDefault="002669EB" w:rsidP="002669EB">
            <w:pPr>
              <w:spacing w:before="40" w:after="40"/>
              <w:jc w:val="left"/>
              <w:rPr>
                <w:rFonts w:cs="Arial"/>
                <w:b/>
              </w:rPr>
            </w:pPr>
            <w:r w:rsidRPr="002B23E3">
              <w:rPr>
                <w:rFonts w:cs="Arial"/>
                <w:b/>
              </w:rPr>
              <w:t>IMPLEMENTATION DATE:</w:t>
            </w:r>
          </w:p>
        </w:tc>
        <w:tc>
          <w:tcPr>
            <w:tcW w:w="5534" w:type="dxa"/>
          </w:tcPr>
          <w:p w14:paraId="19B19EFB" w14:textId="172E89E3" w:rsidR="002669EB" w:rsidRPr="00CD5DFB" w:rsidRDefault="002669EB" w:rsidP="002669EB">
            <w:pPr>
              <w:spacing w:before="40" w:after="40"/>
              <w:rPr>
                <w:rFonts w:cs="Arial"/>
                <w:bCs/>
              </w:rPr>
            </w:pPr>
            <w:r w:rsidRPr="00CD5DFB">
              <w:rPr>
                <w:rFonts w:cs="Arial"/>
                <w:bCs/>
              </w:rPr>
              <w:t>April 2025</w:t>
            </w:r>
          </w:p>
        </w:tc>
      </w:tr>
      <w:tr w:rsidR="002669EB" w14:paraId="23707AF8" w14:textId="77777777" w:rsidTr="00A50FF5">
        <w:trPr>
          <w:jc w:val="center"/>
        </w:trPr>
        <w:tc>
          <w:tcPr>
            <w:tcW w:w="2988" w:type="dxa"/>
          </w:tcPr>
          <w:p w14:paraId="23DB6968" w14:textId="77777777" w:rsidR="002669EB" w:rsidRPr="002B23E3" w:rsidRDefault="002669EB" w:rsidP="002669EB">
            <w:pPr>
              <w:spacing w:before="40" w:after="40"/>
              <w:jc w:val="left"/>
              <w:rPr>
                <w:rFonts w:cs="Arial"/>
                <w:b/>
              </w:rPr>
            </w:pPr>
            <w:r w:rsidRPr="002B23E3">
              <w:rPr>
                <w:rFonts w:cs="Arial"/>
                <w:b/>
              </w:rPr>
              <w:t>DATE FOR NEXT REVIEW:</w:t>
            </w:r>
          </w:p>
        </w:tc>
        <w:tc>
          <w:tcPr>
            <w:tcW w:w="5534" w:type="dxa"/>
          </w:tcPr>
          <w:p w14:paraId="336777ED" w14:textId="558F32A8" w:rsidR="002669EB" w:rsidRPr="00CD5DFB" w:rsidRDefault="002669EB" w:rsidP="002669EB">
            <w:pPr>
              <w:spacing w:before="40" w:after="40"/>
              <w:rPr>
                <w:rFonts w:cs="Arial"/>
                <w:bCs/>
              </w:rPr>
            </w:pPr>
            <w:r w:rsidRPr="00CD5DFB">
              <w:rPr>
                <w:rFonts w:cs="Arial"/>
                <w:bCs/>
              </w:rPr>
              <w:t>April 202</w:t>
            </w:r>
            <w:r w:rsidR="00D84269">
              <w:rPr>
                <w:rFonts w:cs="Arial"/>
                <w:bCs/>
              </w:rPr>
              <w:t>8</w:t>
            </w:r>
          </w:p>
        </w:tc>
      </w:tr>
      <w:tr w:rsidR="00204B0A" w14:paraId="256E672F" w14:textId="77777777" w:rsidTr="00A50FF5">
        <w:trPr>
          <w:jc w:val="center"/>
        </w:trPr>
        <w:tc>
          <w:tcPr>
            <w:tcW w:w="2988" w:type="dxa"/>
          </w:tcPr>
          <w:p w14:paraId="2D2A3497" w14:textId="77777777" w:rsidR="00204B0A" w:rsidRPr="002B23E3" w:rsidRDefault="00204B0A" w:rsidP="000A5E72">
            <w:pPr>
              <w:spacing w:before="40" w:after="40"/>
              <w:jc w:val="left"/>
              <w:rPr>
                <w:rFonts w:cs="Arial"/>
                <w:b/>
              </w:rPr>
            </w:pPr>
            <w:r w:rsidRPr="002B23E3">
              <w:rPr>
                <w:rFonts w:cs="Arial"/>
                <w:b/>
              </w:rPr>
              <w:t>ADDITIONAL GUIDANCE:</w:t>
            </w:r>
          </w:p>
        </w:tc>
        <w:tc>
          <w:tcPr>
            <w:tcW w:w="5534" w:type="dxa"/>
          </w:tcPr>
          <w:p w14:paraId="4F33519E" w14:textId="77777777" w:rsidR="0007271A" w:rsidRPr="002B23E3" w:rsidRDefault="0007271A" w:rsidP="0007271A">
            <w:pPr>
              <w:spacing w:after="160" w:line="259" w:lineRule="auto"/>
              <w:rPr>
                <w:rFonts w:cs="Arial"/>
                <w:bCs/>
                <w:i/>
                <w:iCs/>
              </w:rPr>
            </w:pPr>
            <w:r w:rsidRPr="002B23E3">
              <w:rPr>
                <w:rFonts w:cs="Arial"/>
                <w:bCs/>
                <w:i/>
                <w:iCs/>
              </w:rPr>
              <w:t>Electric Safety Roundtable (ESR): Code of Practice for the Management of Electrotechnical Care in Social Housing</w:t>
            </w:r>
          </w:p>
          <w:p w14:paraId="7ECEFCDA" w14:textId="4392449E" w:rsidR="0007271A" w:rsidRPr="002B23E3" w:rsidRDefault="0007271A" w:rsidP="0007271A">
            <w:pPr>
              <w:spacing w:after="160" w:line="259" w:lineRule="auto"/>
              <w:rPr>
                <w:rFonts w:cs="Arial"/>
                <w:bCs/>
                <w:i/>
                <w:iCs/>
              </w:rPr>
            </w:pPr>
            <w:r w:rsidRPr="002B23E3">
              <w:rPr>
                <w:rFonts w:cs="Arial"/>
                <w:bCs/>
                <w:i/>
                <w:iCs/>
              </w:rPr>
              <w:t xml:space="preserve">Association of Safety compliance Professionals (ASCP) in </w:t>
            </w:r>
            <w:r w:rsidR="002F1F91" w:rsidRPr="002B23E3">
              <w:rPr>
                <w:rFonts w:cs="Arial"/>
                <w:bCs/>
                <w:i/>
                <w:iCs/>
              </w:rPr>
              <w:t>Housing</w:t>
            </w:r>
            <w:r w:rsidRPr="002B23E3">
              <w:rPr>
                <w:rFonts w:cs="Arial"/>
                <w:bCs/>
                <w:i/>
                <w:iCs/>
              </w:rPr>
              <w:t xml:space="preserve"> &amp; Communities publication of ‘Gaining Access for Safety Checks in Social Housing: The Legal Position on Guaranteed Access’</w:t>
            </w:r>
          </w:p>
          <w:p w14:paraId="47305D0C" w14:textId="38065D8A" w:rsidR="00204B0A" w:rsidRPr="00CD5DFB" w:rsidRDefault="0007271A" w:rsidP="0007271A">
            <w:pPr>
              <w:spacing w:after="160" w:line="259" w:lineRule="auto"/>
              <w:rPr>
                <w:rFonts w:cs="Arial"/>
                <w:bCs/>
              </w:rPr>
            </w:pPr>
            <w:r w:rsidRPr="002B23E3">
              <w:rPr>
                <w:rFonts w:cs="Arial"/>
                <w:bCs/>
                <w:i/>
                <w:iCs/>
              </w:rPr>
              <w:t>Tenancy Agreement</w:t>
            </w:r>
            <w:r w:rsidR="0027008C">
              <w:rPr>
                <w:rFonts w:cs="Arial"/>
                <w:bCs/>
                <w:i/>
                <w:iCs/>
              </w:rPr>
              <w:t xml:space="preserve"> (Secure, Flexible, Intro)</w:t>
            </w:r>
          </w:p>
        </w:tc>
      </w:tr>
      <w:tr w:rsidR="00204B0A" w14:paraId="0258B9E8" w14:textId="77777777" w:rsidTr="00A50FF5">
        <w:trPr>
          <w:jc w:val="center"/>
        </w:trPr>
        <w:tc>
          <w:tcPr>
            <w:tcW w:w="2988" w:type="dxa"/>
          </w:tcPr>
          <w:p w14:paraId="1779370A" w14:textId="77777777" w:rsidR="00204B0A" w:rsidRPr="002B23E3" w:rsidRDefault="00204B0A" w:rsidP="000A5E72">
            <w:pPr>
              <w:spacing w:before="40" w:after="40"/>
              <w:jc w:val="left"/>
              <w:rPr>
                <w:rFonts w:cs="Arial"/>
                <w:b/>
              </w:rPr>
            </w:pPr>
            <w:r w:rsidRPr="002B23E3">
              <w:rPr>
                <w:rFonts w:cs="Arial"/>
                <w:b/>
              </w:rPr>
              <w:t>ASSOCIATED CUSTOMER PUBLICATIONS:</w:t>
            </w:r>
          </w:p>
        </w:tc>
        <w:tc>
          <w:tcPr>
            <w:tcW w:w="5534" w:type="dxa"/>
          </w:tcPr>
          <w:p w14:paraId="2041409E" w14:textId="599FE672" w:rsidR="00204B0A" w:rsidRPr="00CD5DFB" w:rsidRDefault="00204B0A" w:rsidP="00A50FF5">
            <w:pPr>
              <w:spacing w:before="40" w:after="40"/>
              <w:rPr>
                <w:rFonts w:cs="Arial"/>
                <w:bCs/>
              </w:rPr>
            </w:pPr>
          </w:p>
        </w:tc>
      </w:tr>
      <w:tr w:rsidR="00204B0A" w14:paraId="05C81AB5" w14:textId="77777777" w:rsidTr="00A50FF5">
        <w:trPr>
          <w:jc w:val="center"/>
        </w:trPr>
        <w:tc>
          <w:tcPr>
            <w:tcW w:w="2988" w:type="dxa"/>
          </w:tcPr>
          <w:p w14:paraId="20E097DB" w14:textId="77777777" w:rsidR="00204B0A" w:rsidRPr="002B23E3" w:rsidRDefault="00204B0A" w:rsidP="000A5E72">
            <w:pPr>
              <w:spacing w:before="40" w:after="40"/>
              <w:jc w:val="left"/>
              <w:rPr>
                <w:rFonts w:cs="Arial"/>
                <w:b/>
              </w:rPr>
            </w:pPr>
            <w:r w:rsidRPr="002B23E3">
              <w:rPr>
                <w:rFonts w:cs="Arial"/>
                <w:b/>
              </w:rPr>
              <w:t>TEAMS AFFECTED:</w:t>
            </w:r>
          </w:p>
        </w:tc>
        <w:tc>
          <w:tcPr>
            <w:tcW w:w="5534" w:type="dxa"/>
          </w:tcPr>
          <w:p w14:paraId="632E643B" w14:textId="6435C49D" w:rsidR="00204B0A" w:rsidRPr="00CD5DFB" w:rsidRDefault="007B2D8E" w:rsidP="00A50FF5">
            <w:pPr>
              <w:spacing w:before="40" w:after="40"/>
              <w:rPr>
                <w:rFonts w:cs="Arial"/>
                <w:bCs/>
              </w:rPr>
            </w:pPr>
            <w:r w:rsidRPr="00CD5DFB">
              <w:rPr>
                <w:rFonts w:cs="Arial"/>
                <w:bCs/>
              </w:rPr>
              <w:t xml:space="preserve">Housing Management, Building </w:t>
            </w:r>
            <w:r w:rsidR="00E249BB" w:rsidRPr="00CD5DFB">
              <w:rPr>
                <w:rFonts w:cs="Arial"/>
                <w:bCs/>
              </w:rPr>
              <w:t>Safety, Major</w:t>
            </w:r>
            <w:r w:rsidRPr="00CD5DFB">
              <w:rPr>
                <w:rFonts w:cs="Arial"/>
                <w:bCs/>
              </w:rPr>
              <w:t xml:space="preserve"> Projects, Repairs and Maintenance, </w:t>
            </w:r>
            <w:r w:rsidR="00624C35" w:rsidRPr="00CD5DFB">
              <w:rPr>
                <w:rFonts w:cs="Arial"/>
                <w:bCs/>
              </w:rPr>
              <w:t>Customer Services</w:t>
            </w:r>
            <w:r w:rsidR="008F7093" w:rsidRPr="00CD5DFB">
              <w:rPr>
                <w:rFonts w:cs="Arial"/>
                <w:bCs/>
              </w:rPr>
              <w:t>, Asset Management</w:t>
            </w:r>
          </w:p>
        </w:tc>
      </w:tr>
      <w:tr w:rsidR="00204B0A" w14:paraId="07279FF6" w14:textId="77777777" w:rsidTr="00A50FF5">
        <w:trPr>
          <w:jc w:val="center"/>
        </w:trPr>
        <w:tc>
          <w:tcPr>
            <w:tcW w:w="2988" w:type="dxa"/>
          </w:tcPr>
          <w:p w14:paraId="68B53B1D" w14:textId="77777777" w:rsidR="00204B0A" w:rsidRPr="002B23E3" w:rsidRDefault="00204B0A" w:rsidP="000A5E72">
            <w:pPr>
              <w:spacing w:before="40" w:after="40"/>
              <w:jc w:val="left"/>
              <w:rPr>
                <w:rFonts w:cs="Arial"/>
                <w:b/>
              </w:rPr>
            </w:pPr>
            <w:r w:rsidRPr="002B23E3">
              <w:rPr>
                <w:rFonts w:cs="Arial"/>
                <w:b/>
              </w:rPr>
              <w:t>THIS POLICY REPLACES WITH IMMEDIATE EFFECT:</w:t>
            </w:r>
          </w:p>
        </w:tc>
        <w:tc>
          <w:tcPr>
            <w:tcW w:w="5534" w:type="dxa"/>
          </w:tcPr>
          <w:p w14:paraId="29B0B3EA" w14:textId="77777777" w:rsidR="00204B0A" w:rsidRPr="00CD5DFB" w:rsidRDefault="007B2D8E" w:rsidP="00A50FF5">
            <w:pPr>
              <w:spacing w:before="40" w:after="40"/>
              <w:rPr>
                <w:rFonts w:cs="Arial"/>
                <w:b/>
              </w:rPr>
            </w:pPr>
            <w:r w:rsidRPr="00CD5DFB">
              <w:rPr>
                <w:rFonts w:cs="Arial"/>
                <w:b/>
              </w:rPr>
              <w:t>New Policy</w:t>
            </w:r>
          </w:p>
          <w:p w14:paraId="36A43DA6" w14:textId="708C8DEA" w:rsidR="00C53EBF" w:rsidRPr="00CD5DFB" w:rsidRDefault="00C53EBF" w:rsidP="00C53EBF">
            <w:pPr>
              <w:spacing w:before="40" w:after="40"/>
              <w:jc w:val="left"/>
              <w:rPr>
                <w:rFonts w:cs="Arial"/>
                <w:bCs/>
              </w:rPr>
            </w:pPr>
            <w:r w:rsidRPr="00CD5DFB">
              <w:rPr>
                <w:rFonts w:cs="Arial"/>
                <w:bCs/>
              </w:rPr>
              <w:t>Replaces references in the following Policies:</w:t>
            </w:r>
          </w:p>
          <w:p w14:paraId="0BA9AB91" w14:textId="7173E328" w:rsidR="00C53EBF" w:rsidRPr="00CD5DFB" w:rsidRDefault="00C53EBF" w:rsidP="00C53EBF">
            <w:pPr>
              <w:spacing w:before="40" w:after="40"/>
              <w:jc w:val="left"/>
              <w:rPr>
                <w:rFonts w:cs="Arial"/>
                <w:b/>
              </w:rPr>
            </w:pPr>
            <w:r w:rsidRPr="00CD5DFB">
              <w:rPr>
                <w:rFonts w:cs="Arial"/>
                <w:bCs/>
              </w:rPr>
              <w:t>Repairs &amp; Maintenance, Housing Management, Customer Own Improvements</w:t>
            </w:r>
            <w:r w:rsidRPr="00CD5DFB">
              <w:rPr>
                <w:rFonts w:cs="Arial"/>
                <w:b/>
              </w:rPr>
              <w:t>.</w:t>
            </w:r>
          </w:p>
        </w:tc>
      </w:tr>
    </w:tbl>
    <w:p w14:paraId="16306262" w14:textId="77777777" w:rsidR="00204B0A" w:rsidRDefault="00204B0A"/>
    <w:p w14:paraId="593AFE0D" w14:textId="77777777" w:rsidR="00204B0A" w:rsidRDefault="00204B0A"/>
    <w:p w14:paraId="718F5FBE" w14:textId="77777777" w:rsidR="00112C58" w:rsidRDefault="00112C58"/>
    <w:p w14:paraId="47311842" w14:textId="77777777" w:rsidR="00204B0A" w:rsidRDefault="00204B0A"/>
    <w:p w14:paraId="5C67DFA0" w14:textId="77777777" w:rsidR="00204B0A" w:rsidRDefault="00204B0A"/>
    <w:p w14:paraId="17FAE7D3" w14:textId="77777777" w:rsidR="00204B0A" w:rsidRDefault="00204B0A"/>
    <w:p w14:paraId="6FD3E2F4" w14:textId="77777777" w:rsidR="00204B0A" w:rsidRDefault="00204B0A" w:rsidP="00204B0A">
      <w:pPr>
        <w:rPr>
          <w:rFonts w:ascii="Arial Black" w:hAnsi="Arial Black"/>
          <w:sz w:val="28"/>
          <w:szCs w:val="28"/>
        </w:rPr>
      </w:pPr>
      <w:r>
        <w:rPr>
          <w:rFonts w:ascii="Arial Black" w:hAnsi="Arial Black"/>
          <w:sz w:val="28"/>
          <w:szCs w:val="28"/>
        </w:rPr>
        <w:lastRenderedPageBreak/>
        <w:t>DOCUMENT CONTROL</w:t>
      </w:r>
    </w:p>
    <w:p w14:paraId="2EB69E55" w14:textId="77777777" w:rsidR="00204B0A" w:rsidRDefault="00204B0A" w:rsidP="00204B0A">
      <w:pPr>
        <w:numPr>
          <w:ilvl w:val="12"/>
          <w:numId w:val="0"/>
        </w:numPr>
        <w:rPr>
          <w:rFonts w:cs="Arial"/>
        </w:rPr>
      </w:pPr>
    </w:p>
    <w:p w14:paraId="2EE4E7BD" w14:textId="77777777" w:rsidR="00204B0A" w:rsidRDefault="00204B0A" w:rsidP="00204B0A">
      <w:pPr>
        <w:numPr>
          <w:ilvl w:val="12"/>
          <w:numId w:val="0"/>
        </w:numPr>
        <w:rPr>
          <w:rFonts w:cs="Arial"/>
        </w:rPr>
      </w:pPr>
      <w:r>
        <w:rPr>
          <w:rFonts w:cs="Arial"/>
        </w:rPr>
        <w:t>For guidance on completing this section please refer to the document version control guidance notes</w:t>
      </w:r>
    </w:p>
    <w:p w14:paraId="3E76FFF5" w14:textId="77777777" w:rsidR="00204B0A" w:rsidRDefault="00204B0A" w:rsidP="00204B0A">
      <w:pPr>
        <w:rPr>
          <w:rFonts w:cs="Arial"/>
          <w:b/>
          <w:sz w:val="28"/>
          <w:szCs w:val="28"/>
        </w:rPr>
      </w:pPr>
    </w:p>
    <w:p w14:paraId="7646326B" w14:textId="77777777" w:rsidR="00204B0A" w:rsidRDefault="00204B0A" w:rsidP="00204B0A">
      <w:pPr>
        <w:rPr>
          <w:rFonts w:cs="Arial"/>
          <w:b/>
          <w:sz w:val="28"/>
          <w:szCs w:val="28"/>
        </w:rPr>
      </w:pPr>
      <w:r>
        <w:rPr>
          <w:rFonts w:cs="Arial"/>
          <w:b/>
          <w:sz w:val="28"/>
          <w:szCs w:val="28"/>
        </w:rPr>
        <w:t>Revision History</w:t>
      </w:r>
    </w:p>
    <w:p w14:paraId="7E091998" w14:textId="77777777" w:rsidR="00204B0A" w:rsidRDefault="00204B0A" w:rsidP="00204B0A">
      <w:pPr>
        <w:rPr>
          <w:rFonts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840"/>
      </w:tblGrid>
      <w:tr w:rsidR="002669EB" w14:paraId="05D9D7CC" w14:textId="77777777" w:rsidTr="002669EB">
        <w:trPr>
          <w:trHeight w:val="377"/>
        </w:trPr>
        <w:tc>
          <w:tcPr>
            <w:tcW w:w="2808" w:type="dxa"/>
            <w:vAlign w:val="center"/>
          </w:tcPr>
          <w:p w14:paraId="3E27DD9F" w14:textId="77777777" w:rsidR="002669EB" w:rsidRDefault="002669EB" w:rsidP="002669EB">
            <w:pPr>
              <w:rPr>
                <w:rFonts w:cs="Arial"/>
                <w:b/>
              </w:rPr>
            </w:pPr>
            <w:r>
              <w:rPr>
                <w:rFonts w:cs="Arial"/>
                <w:b/>
              </w:rPr>
              <w:t>Date of this revision:</w:t>
            </w:r>
          </w:p>
        </w:tc>
        <w:tc>
          <w:tcPr>
            <w:tcW w:w="6840" w:type="dxa"/>
          </w:tcPr>
          <w:p w14:paraId="1A6DEAEA" w14:textId="15F16072" w:rsidR="002669EB" w:rsidRDefault="002669EB" w:rsidP="002669EB">
            <w:pPr>
              <w:tabs>
                <w:tab w:val="left" w:pos="6687"/>
              </w:tabs>
              <w:rPr>
                <w:rFonts w:cs="Arial"/>
              </w:rPr>
            </w:pPr>
            <w:r w:rsidRPr="00087CFD">
              <w:t>N/A – New Policy</w:t>
            </w:r>
          </w:p>
        </w:tc>
      </w:tr>
      <w:tr w:rsidR="002669EB" w14:paraId="788F5ADC" w14:textId="77777777" w:rsidTr="002669EB">
        <w:trPr>
          <w:trHeight w:val="359"/>
        </w:trPr>
        <w:tc>
          <w:tcPr>
            <w:tcW w:w="2808" w:type="dxa"/>
            <w:vAlign w:val="center"/>
          </w:tcPr>
          <w:p w14:paraId="113856D9" w14:textId="77777777" w:rsidR="002669EB" w:rsidRDefault="002669EB" w:rsidP="002669EB">
            <w:pPr>
              <w:rPr>
                <w:rFonts w:cs="Arial"/>
                <w:b/>
              </w:rPr>
            </w:pPr>
            <w:r>
              <w:rPr>
                <w:rFonts w:cs="Arial"/>
                <w:b/>
              </w:rPr>
              <w:t>Date of next review:</w:t>
            </w:r>
          </w:p>
        </w:tc>
        <w:tc>
          <w:tcPr>
            <w:tcW w:w="6840" w:type="dxa"/>
          </w:tcPr>
          <w:p w14:paraId="39687CFA" w14:textId="16D765F1" w:rsidR="002669EB" w:rsidRDefault="002669EB" w:rsidP="002669EB">
            <w:pPr>
              <w:tabs>
                <w:tab w:val="left" w:pos="6687"/>
              </w:tabs>
              <w:rPr>
                <w:rFonts w:cs="Arial"/>
              </w:rPr>
            </w:pPr>
            <w:r w:rsidRPr="00087CFD">
              <w:t>April 202</w:t>
            </w:r>
            <w:r w:rsidR="0025605A">
              <w:t>8</w:t>
            </w:r>
          </w:p>
        </w:tc>
      </w:tr>
      <w:tr w:rsidR="002669EB" w14:paraId="2D874DC7" w14:textId="77777777" w:rsidTr="002669EB">
        <w:trPr>
          <w:trHeight w:val="341"/>
        </w:trPr>
        <w:tc>
          <w:tcPr>
            <w:tcW w:w="2808" w:type="dxa"/>
            <w:vAlign w:val="center"/>
          </w:tcPr>
          <w:p w14:paraId="2E9D942C" w14:textId="77777777" w:rsidR="002669EB" w:rsidRDefault="002669EB" w:rsidP="002669EB">
            <w:pPr>
              <w:rPr>
                <w:rFonts w:cs="Arial"/>
                <w:b/>
              </w:rPr>
            </w:pPr>
            <w:r>
              <w:rPr>
                <w:rFonts w:cs="Arial"/>
                <w:b/>
              </w:rPr>
              <w:t>Responsible Officer:</w:t>
            </w:r>
          </w:p>
        </w:tc>
        <w:tc>
          <w:tcPr>
            <w:tcW w:w="6840" w:type="dxa"/>
          </w:tcPr>
          <w:p w14:paraId="6E4A2556" w14:textId="6EA209AC" w:rsidR="002669EB" w:rsidRDefault="002669EB" w:rsidP="002669EB">
            <w:pPr>
              <w:tabs>
                <w:tab w:val="left" w:pos="6687"/>
              </w:tabs>
              <w:rPr>
                <w:rFonts w:cs="Arial"/>
              </w:rPr>
            </w:pPr>
            <w:r w:rsidRPr="00087CFD">
              <w:t>Head of Housing Management</w:t>
            </w:r>
          </w:p>
        </w:tc>
      </w:tr>
    </w:tbl>
    <w:p w14:paraId="3ABF96BF" w14:textId="77777777" w:rsidR="00204B0A" w:rsidRDefault="00204B0A" w:rsidP="00204B0A">
      <w:pPr>
        <w:rPr>
          <w:rFonts w:cs="Arial"/>
        </w:rPr>
      </w:pPr>
    </w:p>
    <w:p w14:paraId="6306F3DA" w14:textId="77777777" w:rsidR="00204B0A" w:rsidRDefault="00204B0A" w:rsidP="00204B0A">
      <w:pPr>
        <w:rPr>
          <w:rFonts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553"/>
        <w:gridCol w:w="2232"/>
        <w:gridCol w:w="4608"/>
      </w:tblGrid>
      <w:tr w:rsidR="00204B0A" w14:paraId="31D28AC8" w14:textId="77777777" w:rsidTr="00657CD0">
        <w:tc>
          <w:tcPr>
            <w:tcW w:w="1255" w:type="dxa"/>
            <w:vAlign w:val="center"/>
          </w:tcPr>
          <w:p w14:paraId="1CC5E390" w14:textId="77777777" w:rsidR="00204B0A" w:rsidRDefault="00204B0A" w:rsidP="00657CD0">
            <w:pPr>
              <w:jc w:val="center"/>
              <w:rPr>
                <w:rFonts w:cs="Arial"/>
                <w:b/>
              </w:rPr>
            </w:pPr>
            <w:r>
              <w:rPr>
                <w:rFonts w:cs="Arial"/>
                <w:b/>
              </w:rPr>
              <w:t>Version Number</w:t>
            </w:r>
          </w:p>
        </w:tc>
        <w:tc>
          <w:tcPr>
            <w:tcW w:w="1553" w:type="dxa"/>
            <w:vAlign w:val="center"/>
          </w:tcPr>
          <w:p w14:paraId="6EB7DE55" w14:textId="77777777" w:rsidR="00204B0A" w:rsidRDefault="00204B0A" w:rsidP="00657CD0">
            <w:pPr>
              <w:jc w:val="center"/>
              <w:rPr>
                <w:rFonts w:cs="Arial"/>
                <w:b/>
              </w:rPr>
            </w:pPr>
            <w:r>
              <w:rPr>
                <w:rFonts w:cs="Arial"/>
                <w:b/>
              </w:rPr>
              <w:t>Version Date</w:t>
            </w:r>
          </w:p>
        </w:tc>
        <w:tc>
          <w:tcPr>
            <w:tcW w:w="2232" w:type="dxa"/>
            <w:vAlign w:val="center"/>
          </w:tcPr>
          <w:p w14:paraId="1ED9469C" w14:textId="77777777" w:rsidR="00204B0A" w:rsidRDefault="00204B0A" w:rsidP="00657CD0">
            <w:pPr>
              <w:jc w:val="center"/>
              <w:rPr>
                <w:rFonts w:cs="Arial"/>
                <w:b/>
              </w:rPr>
            </w:pPr>
            <w:r>
              <w:rPr>
                <w:rFonts w:cs="Arial"/>
                <w:b/>
              </w:rPr>
              <w:t>Author/Group commenting</w:t>
            </w:r>
          </w:p>
        </w:tc>
        <w:tc>
          <w:tcPr>
            <w:tcW w:w="4608" w:type="dxa"/>
            <w:vAlign w:val="center"/>
          </w:tcPr>
          <w:p w14:paraId="10769F86" w14:textId="77777777" w:rsidR="00204B0A" w:rsidRDefault="00204B0A" w:rsidP="00657CD0">
            <w:pPr>
              <w:jc w:val="center"/>
              <w:rPr>
                <w:rFonts w:cs="Arial"/>
                <w:b/>
              </w:rPr>
            </w:pPr>
            <w:r>
              <w:rPr>
                <w:rFonts w:cs="Arial"/>
                <w:b/>
              </w:rPr>
              <w:t>Summary of Changes</w:t>
            </w:r>
          </w:p>
        </w:tc>
      </w:tr>
      <w:tr w:rsidR="002669EB" w14:paraId="6EA8DA80" w14:textId="77777777" w:rsidTr="00657CD0">
        <w:trPr>
          <w:trHeight w:val="386"/>
        </w:trPr>
        <w:tc>
          <w:tcPr>
            <w:tcW w:w="1255" w:type="dxa"/>
            <w:vAlign w:val="center"/>
          </w:tcPr>
          <w:p w14:paraId="7522EFD9" w14:textId="2D7EE900" w:rsidR="002669EB" w:rsidRDefault="002669EB" w:rsidP="002669EB">
            <w:pPr>
              <w:jc w:val="center"/>
              <w:rPr>
                <w:rFonts w:cs="Arial"/>
              </w:rPr>
            </w:pPr>
            <w:r>
              <w:rPr>
                <w:rFonts w:cs="Arial"/>
              </w:rPr>
              <w:t>01</w:t>
            </w:r>
          </w:p>
        </w:tc>
        <w:tc>
          <w:tcPr>
            <w:tcW w:w="1553" w:type="dxa"/>
            <w:vAlign w:val="center"/>
          </w:tcPr>
          <w:p w14:paraId="585845D3" w14:textId="2812BF5C" w:rsidR="002669EB" w:rsidRDefault="0025605A" w:rsidP="002669EB">
            <w:pPr>
              <w:jc w:val="center"/>
              <w:rPr>
                <w:rFonts w:cs="Arial"/>
              </w:rPr>
            </w:pPr>
            <w:r>
              <w:rPr>
                <w:rFonts w:cs="Arial"/>
              </w:rPr>
              <w:t>Feb</w:t>
            </w:r>
            <w:r w:rsidR="002669EB">
              <w:rPr>
                <w:rFonts w:cs="Arial"/>
              </w:rPr>
              <w:t xml:space="preserve"> 2025</w:t>
            </w:r>
          </w:p>
        </w:tc>
        <w:tc>
          <w:tcPr>
            <w:tcW w:w="2232" w:type="dxa"/>
            <w:vAlign w:val="center"/>
          </w:tcPr>
          <w:p w14:paraId="4D7BA25E" w14:textId="13E98722" w:rsidR="002669EB" w:rsidRDefault="002669EB" w:rsidP="002669EB">
            <w:pPr>
              <w:rPr>
                <w:rFonts w:cs="Arial"/>
              </w:rPr>
            </w:pPr>
            <w:r>
              <w:rPr>
                <w:rFonts w:cs="Arial"/>
              </w:rPr>
              <w:t>Head of Housing Management</w:t>
            </w:r>
          </w:p>
        </w:tc>
        <w:tc>
          <w:tcPr>
            <w:tcW w:w="4608" w:type="dxa"/>
            <w:vAlign w:val="center"/>
          </w:tcPr>
          <w:p w14:paraId="1B10CD83" w14:textId="00F1D5A2" w:rsidR="002669EB" w:rsidRDefault="002669EB" w:rsidP="002669EB">
            <w:pPr>
              <w:jc w:val="center"/>
              <w:rPr>
                <w:rFonts w:cs="Arial"/>
              </w:rPr>
            </w:pPr>
            <w:r>
              <w:rPr>
                <w:rFonts w:cs="Arial"/>
              </w:rPr>
              <w:t>New Policy</w:t>
            </w:r>
          </w:p>
        </w:tc>
      </w:tr>
      <w:tr w:rsidR="002669EB" w14:paraId="19DA58F5" w14:textId="77777777" w:rsidTr="00657CD0">
        <w:trPr>
          <w:trHeight w:val="359"/>
        </w:trPr>
        <w:tc>
          <w:tcPr>
            <w:tcW w:w="1255" w:type="dxa"/>
            <w:vAlign w:val="center"/>
          </w:tcPr>
          <w:p w14:paraId="5ED35E61" w14:textId="77777777" w:rsidR="002669EB" w:rsidRDefault="002669EB" w:rsidP="002669EB">
            <w:pPr>
              <w:jc w:val="center"/>
              <w:rPr>
                <w:rFonts w:cs="Arial"/>
              </w:rPr>
            </w:pPr>
          </w:p>
        </w:tc>
        <w:tc>
          <w:tcPr>
            <w:tcW w:w="1553" w:type="dxa"/>
            <w:vAlign w:val="center"/>
          </w:tcPr>
          <w:p w14:paraId="6DD88F12" w14:textId="77777777" w:rsidR="002669EB" w:rsidRDefault="002669EB" w:rsidP="002669EB">
            <w:pPr>
              <w:jc w:val="center"/>
              <w:rPr>
                <w:rFonts w:cs="Arial"/>
              </w:rPr>
            </w:pPr>
          </w:p>
        </w:tc>
        <w:tc>
          <w:tcPr>
            <w:tcW w:w="2232" w:type="dxa"/>
            <w:vAlign w:val="center"/>
          </w:tcPr>
          <w:p w14:paraId="27F58B98" w14:textId="77777777" w:rsidR="002669EB" w:rsidRDefault="002669EB" w:rsidP="002669EB">
            <w:pPr>
              <w:jc w:val="center"/>
              <w:rPr>
                <w:rFonts w:cs="Arial"/>
              </w:rPr>
            </w:pPr>
          </w:p>
        </w:tc>
        <w:tc>
          <w:tcPr>
            <w:tcW w:w="4608" w:type="dxa"/>
            <w:vAlign w:val="center"/>
          </w:tcPr>
          <w:p w14:paraId="11F908FC" w14:textId="77777777" w:rsidR="002669EB" w:rsidRDefault="002669EB" w:rsidP="002669EB">
            <w:pPr>
              <w:jc w:val="center"/>
              <w:rPr>
                <w:rFonts w:cs="Arial"/>
              </w:rPr>
            </w:pPr>
          </w:p>
        </w:tc>
      </w:tr>
      <w:tr w:rsidR="002669EB" w14:paraId="5E0A0A02" w14:textId="77777777" w:rsidTr="00657CD0">
        <w:trPr>
          <w:trHeight w:val="341"/>
        </w:trPr>
        <w:tc>
          <w:tcPr>
            <w:tcW w:w="1255" w:type="dxa"/>
            <w:vAlign w:val="center"/>
          </w:tcPr>
          <w:p w14:paraId="68936553" w14:textId="77777777" w:rsidR="002669EB" w:rsidRDefault="002669EB" w:rsidP="002669EB">
            <w:pPr>
              <w:jc w:val="center"/>
              <w:rPr>
                <w:rFonts w:cs="Arial"/>
              </w:rPr>
            </w:pPr>
          </w:p>
        </w:tc>
        <w:tc>
          <w:tcPr>
            <w:tcW w:w="1553" w:type="dxa"/>
            <w:vAlign w:val="center"/>
          </w:tcPr>
          <w:p w14:paraId="79A31570" w14:textId="77777777" w:rsidR="002669EB" w:rsidRDefault="002669EB" w:rsidP="002669EB">
            <w:pPr>
              <w:jc w:val="center"/>
              <w:rPr>
                <w:rFonts w:cs="Arial"/>
              </w:rPr>
            </w:pPr>
          </w:p>
        </w:tc>
        <w:tc>
          <w:tcPr>
            <w:tcW w:w="2232" w:type="dxa"/>
            <w:vAlign w:val="center"/>
          </w:tcPr>
          <w:p w14:paraId="007A664C" w14:textId="77777777" w:rsidR="002669EB" w:rsidRDefault="002669EB" w:rsidP="002669EB">
            <w:pPr>
              <w:jc w:val="center"/>
              <w:rPr>
                <w:rFonts w:cs="Arial"/>
              </w:rPr>
            </w:pPr>
          </w:p>
        </w:tc>
        <w:tc>
          <w:tcPr>
            <w:tcW w:w="4608" w:type="dxa"/>
            <w:vAlign w:val="center"/>
          </w:tcPr>
          <w:p w14:paraId="72B327C8" w14:textId="77777777" w:rsidR="002669EB" w:rsidRDefault="002669EB" w:rsidP="002669EB">
            <w:pPr>
              <w:jc w:val="center"/>
              <w:rPr>
                <w:rFonts w:cs="Arial"/>
              </w:rPr>
            </w:pPr>
          </w:p>
        </w:tc>
      </w:tr>
      <w:tr w:rsidR="002669EB" w14:paraId="058E1BC9" w14:textId="77777777" w:rsidTr="00657CD0">
        <w:trPr>
          <w:trHeight w:val="359"/>
        </w:trPr>
        <w:tc>
          <w:tcPr>
            <w:tcW w:w="1255" w:type="dxa"/>
            <w:vAlign w:val="center"/>
          </w:tcPr>
          <w:p w14:paraId="422ED8C0" w14:textId="77777777" w:rsidR="002669EB" w:rsidRDefault="002669EB" w:rsidP="002669EB">
            <w:pPr>
              <w:jc w:val="center"/>
              <w:rPr>
                <w:rFonts w:cs="Arial"/>
              </w:rPr>
            </w:pPr>
          </w:p>
        </w:tc>
        <w:tc>
          <w:tcPr>
            <w:tcW w:w="1553" w:type="dxa"/>
            <w:vAlign w:val="center"/>
          </w:tcPr>
          <w:p w14:paraId="1A3E186A" w14:textId="77777777" w:rsidR="002669EB" w:rsidRDefault="002669EB" w:rsidP="002669EB">
            <w:pPr>
              <w:jc w:val="center"/>
              <w:rPr>
                <w:rFonts w:cs="Arial"/>
              </w:rPr>
            </w:pPr>
          </w:p>
        </w:tc>
        <w:tc>
          <w:tcPr>
            <w:tcW w:w="2232" w:type="dxa"/>
            <w:vAlign w:val="center"/>
          </w:tcPr>
          <w:p w14:paraId="5B3B6C1A" w14:textId="77777777" w:rsidR="002669EB" w:rsidRDefault="002669EB" w:rsidP="002669EB">
            <w:pPr>
              <w:jc w:val="center"/>
              <w:rPr>
                <w:rFonts w:cs="Arial"/>
              </w:rPr>
            </w:pPr>
          </w:p>
        </w:tc>
        <w:tc>
          <w:tcPr>
            <w:tcW w:w="4608" w:type="dxa"/>
            <w:vAlign w:val="center"/>
          </w:tcPr>
          <w:p w14:paraId="11AF1A3C" w14:textId="77777777" w:rsidR="002669EB" w:rsidRDefault="002669EB" w:rsidP="002669EB">
            <w:pPr>
              <w:jc w:val="center"/>
              <w:rPr>
                <w:rFonts w:cs="Arial"/>
              </w:rPr>
            </w:pPr>
          </w:p>
        </w:tc>
      </w:tr>
    </w:tbl>
    <w:p w14:paraId="37CC9309" w14:textId="77777777" w:rsidR="00204B0A" w:rsidRDefault="00204B0A" w:rsidP="00204B0A">
      <w:pPr>
        <w:rPr>
          <w:rFonts w:cs="Arial"/>
          <w:sz w:val="20"/>
          <w:szCs w:val="20"/>
        </w:rPr>
      </w:pPr>
    </w:p>
    <w:p w14:paraId="3E318FC5" w14:textId="77777777" w:rsidR="00204B0A" w:rsidRDefault="00204B0A"/>
    <w:p w14:paraId="3AEC6FEF" w14:textId="77777777" w:rsidR="00204B0A" w:rsidRDefault="00204B0A"/>
    <w:p w14:paraId="1B8EFABE" w14:textId="77777777" w:rsidR="00204B0A" w:rsidRDefault="00204B0A"/>
    <w:p w14:paraId="57361979" w14:textId="77777777" w:rsidR="00204B0A" w:rsidRDefault="00204B0A"/>
    <w:p w14:paraId="517C179D" w14:textId="77777777" w:rsidR="00204B0A" w:rsidRDefault="00204B0A"/>
    <w:p w14:paraId="20A2C804" w14:textId="77777777" w:rsidR="00204B0A" w:rsidRDefault="00204B0A"/>
    <w:p w14:paraId="1FDFFD19" w14:textId="77777777" w:rsidR="00204B0A" w:rsidRDefault="00204B0A"/>
    <w:p w14:paraId="6EFD7209" w14:textId="77777777" w:rsidR="00204B0A" w:rsidRDefault="00204B0A"/>
    <w:p w14:paraId="0C0CA7D4" w14:textId="77777777" w:rsidR="00204B0A" w:rsidRDefault="00204B0A"/>
    <w:p w14:paraId="5C8F1A80" w14:textId="77777777" w:rsidR="00204B0A" w:rsidRDefault="00204B0A"/>
    <w:p w14:paraId="78F879F6" w14:textId="77777777" w:rsidR="00204B0A" w:rsidRDefault="00204B0A"/>
    <w:p w14:paraId="6F6BCDEC" w14:textId="77777777" w:rsidR="00204B0A" w:rsidRDefault="00204B0A"/>
    <w:p w14:paraId="15C7C4CF" w14:textId="77777777" w:rsidR="00204B0A" w:rsidRDefault="00204B0A"/>
    <w:p w14:paraId="2BD5E63C" w14:textId="77777777" w:rsidR="00204B0A" w:rsidRDefault="00204B0A"/>
    <w:p w14:paraId="47EE45A4" w14:textId="77777777" w:rsidR="00204B0A" w:rsidRDefault="00204B0A"/>
    <w:p w14:paraId="1AF2871D" w14:textId="77777777" w:rsidR="00204B0A" w:rsidRDefault="00204B0A"/>
    <w:p w14:paraId="6536118A" w14:textId="77777777" w:rsidR="00204B0A" w:rsidRDefault="00204B0A"/>
    <w:p w14:paraId="664BC933" w14:textId="77777777" w:rsidR="00204B0A" w:rsidRDefault="00204B0A"/>
    <w:p w14:paraId="0472A337" w14:textId="5A6C317A" w:rsidR="00204B0A" w:rsidRDefault="00204B0A"/>
    <w:p w14:paraId="03B2F276" w14:textId="030C43E1" w:rsidR="009C2857" w:rsidRDefault="009C2857"/>
    <w:p w14:paraId="4071EC43" w14:textId="2AEB7F1B" w:rsidR="00EB5A58" w:rsidRPr="00EB5A58" w:rsidRDefault="00BC49F9" w:rsidP="00112C58">
      <w:pPr>
        <w:pBdr>
          <w:top w:val="single" w:sz="4" w:space="1" w:color="auto"/>
          <w:left w:val="single" w:sz="4" w:space="1" w:color="auto"/>
          <w:bottom w:val="single" w:sz="4" w:space="1" w:color="auto"/>
          <w:right w:val="single" w:sz="4" w:space="1" w:color="auto"/>
          <w:between w:val="single" w:sz="4" w:space="1" w:color="auto"/>
          <w:bar w:val="single" w:sz="4" w:color="auto"/>
        </w:pBdr>
        <w:rPr>
          <w:rFonts w:cs="Arial"/>
          <w:b/>
        </w:rPr>
      </w:pPr>
      <w:r>
        <w:rPr>
          <w:rFonts w:cs="Arial"/>
          <w:b/>
        </w:rPr>
        <w:br w:type="page"/>
      </w:r>
      <w:r w:rsidR="00EB5A58" w:rsidRPr="00EB5A58">
        <w:rPr>
          <w:rFonts w:cs="Arial"/>
          <w:b/>
        </w:rPr>
        <w:lastRenderedPageBreak/>
        <w:t>Policy Creation and Review Checklist</w:t>
      </w:r>
    </w:p>
    <w:p w14:paraId="6D81AE43" w14:textId="77777777" w:rsidR="00EB5A58" w:rsidRDefault="00EB5A58" w:rsidP="00453DA6"/>
    <w:tbl>
      <w:tblPr>
        <w:tblW w:w="9468" w:type="dxa"/>
        <w:tblLook w:val="01E0" w:firstRow="1" w:lastRow="1" w:firstColumn="1" w:lastColumn="1" w:noHBand="0" w:noVBand="0"/>
      </w:tblPr>
      <w:tblGrid>
        <w:gridCol w:w="9327"/>
        <w:gridCol w:w="222"/>
        <w:gridCol w:w="222"/>
      </w:tblGrid>
      <w:tr w:rsidR="00EB5A58" w:rsidRPr="00941731" w14:paraId="2EF4CA69" w14:textId="77777777" w:rsidTr="00941731">
        <w:trPr>
          <w:trHeight w:val="397"/>
        </w:trPr>
        <w:tc>
          <w:tcPr>
            <w:tcW w:w="7484" w:type="dxa"/>
            <w:vAlign w:val="center"/>
          </w:tcPr>
          <w:tbl>
            <w:tblPr>
              <w:tblStyle w:val="TableGrid"/>
              <w:tblW w:w="9101" w:type="dxa"/>
              <w:tblLook w:val="04A0" w:firstRow="1" w:lastRow="0" w:firstColumn="1" w:lastColumn="0" w:noHBand="0" w:noVBand="1"/>
            </w:tblPr>
            <w:tblGrid>
              <w:gridCol w:w="3429"/>
              <w:gridCol w:w="3119"/>
              <w:gridCol w:w="2553"/>
            </w:tblGrid>
            <w:tr w:rsidR="000A5E72" w:rsidRPr="00941731" w14:paraId="4C63F85F" w14:textId="77777777" w:rsidTr="000A5E72">
              <w:tc>
                <w:tcPr>
                  <w:tcW w:w="3429" w:type="dxa"/>
                </w:tcPr>
                <w:p w14:paraId="3EF9A78E" w14:textId="722A8542" w:rsidR="000A5E72" w:rsidRPr="00941731" w:rsidRDefault="000A5E72" w:rsidP="00941731">
                  <w:pPr>
                    <w:jc w:val="left"/>
                    <w:rPr>
                      <w:rFonts w:cs="Arial"/>
                      <w:b/>
                    </w:rPr>
                  </w:pPr>
                  <w:r>
                    <w:rPr>
                      <w:rFonts w:cs="Arial"/>
                      <w:b/>
                    </w:rPr>
                    <w:t>ACTION</w:t>
                  </w:r>
                </w:p>
              </w:tc>
              <w:tc>
                <w:tcPr>
                  <w:tcW w:w="3119" w:type="dxa"/>
                </w:tcPr>
                <w:p w14:paraId="0A9DBF77" w14:textId="5D9A8592" w:rsidR="000A5E72" w:rsidRPr="00941731" w:rsidRDefault="000A5E72" w:rsidP="00941731">
                  <w:pPr>
                    <w:jc w:val="left"/>
                    <w:rPr>
                      <w:rFonts w:cs="Arial"/>
                      <w:b/>
                    </w:rPr>
                  </w:pPr>
                  <w:r>
                    <w:rPr>
                      <w:rFonts w:cs="Arial"/>
                      <w:b/>
                    </w:rPr>
                    <w:t>RESPONSIBLE OFFICER</w:t>
                  </w:r>
                </w:p>
              </w:tc>
              <w:tc>
                <w:tcPr>
                  <w:tcW w:w="2553" w:type="dxa"/>
                </w:tcPr>
                <w:p w14:paraId="60C6F9A4" w14:textId="4B0D2040" w:rsidR="000A5E72" w:rsidRPr="00941731" w:rsidRDefault="000A5E72" w:rsidP="00D70FE2">
                  <w:pPr>
                    <w:rPr>
                      <w:rFonts w:cs="Arial"/>
                      <w:b/>
                    </w:rPr>
                  </w:pPr>
                  <w:r>
                    <w:rPr>
                      <w:rFonts w:cs="Arial"/>
                      <w:b/>
                    </w:rPr>
                    <w:t>DATE COMPLETED</w:t>
                  </w:r>
                </w:p>
              </w:tc>
            </w:tr>
            <w:tr w:rsidR="002669EB" w:rsidRPr="00941731" w14:paraId="1AC86B04" w14:textId="77777777" w:rsidTr="000A5E72">
              <w:tc>
                <w:tcPr>
                  <w:tcW w:w="3429" w:type="dxa"/>
                </w:tcPr>
                <w:p w14:paraId="16B315F7" w14:textId="77777777" w:rsidR="002669EB" w:rsidRDefault="002669EB" w:rsidP="002669EB">
                  <w:pPr>
                    <w:jc w:val="left"/>
                    <w:rPr>
                      <w:rFonts w:cs="Arial"/>
                    </w:rPr>
                  </w:pPr>
                  <w:r w:rsidRPr="00941731">
                    <w:rPr>
                      <w:rFonts w:cs="Arial"/>
                    </w:rPr>
                    <w:t xml:space="preserve">Best practice researched (HouseMark, HQN, </w:t>
                  </w:r>
                  <w:r>
                    <w:rPr>
                      <w:rFonts w:cs="Arial"/>
                    </w:rPr>
                    <w:t>NFA</w:t>
                  </w:r>
                  <w:r w:rsidRPr="00941731">
                    <w:rPr>
                      <w:rFonts w:cs="Arial"/>
                    </w:rPr>
                    <w:t>,</w:t>
                  </w:r>
                  <w:r>
                    <w:rPr>
                      <w:rFonts w:cs="Arial"/>
                    </w:rPr>
                    <w:t xml:space="preserve"> RSH,</w:t>
                  </w:r>
                  <w:r w:rsidRPr="00941731">
                    <w:rPr>
                      <w:rFonts w:cs="Arial"/>
                    </w:rPr>
                    <w:t xml:space="preserve"> general websites)</w:t>
                  </w:r>
                </w:p>
                <w:p w14:paraId="15712F94" w14:textId="77777777" w:rsidR="002669EB" w:rsidRDefault="002669EB" w:rsidP="002669EB">
                  <w:pPr>
                    <w:jc w:val="left"/>
                    <w:rPr>
                      <w:rFonts w:cs="Arial"/>
                    </w:rPr>
                  </w:pPr>
                </w:p>
                <w:p w14:paraId="50D76359" w14:textId="6F5E5415" w:rsidR="002669EB" w:rsidRPr="00941731" w:rsidRDefault="002669EB" w:rsidP="002669EB">
                  <w:pPr>
                    <w:jc w:val="left"/>
                    <w:rPr>
                      <w:rFonts w:cs="Arial"/>
                      <w:b/>
                    </w:rPr>
                  </w:pPr>
                  <w:r>
                    <w:t>Gaining Access for Safety Checks in Social Housing the Legal Position on Guaranteed Access</w:t>
                  </w:r>
                </w:p>
              </w:tc>
              <w:tc>
                <w:tcPr>
                  <w:tcW w:w="3119" w:type="dxa"/>
                </w:tcPr>
                <w:p w14:paraId="720B2405" w14:textId="74FCCC99" w:rsidR="002669EB" w:rsidRPr="00941731" w:rsidRDefault="002669EB" w:rsidP="002669EB">
                  <w:pPr>
                    <w:jc w:val="left"/>
                    <w:rPr>
                      <w:rFonts w:cs="Arial"/>
                      <w:b/>
                    </w:rPr>
                  </w:pPr>
                  <w:r w:rsidRPr="00444CEE">
                    <w:rPr>
                      <w:rFonts w:cs="Arial"/>
                      <w:bCs/>
                    </w:rPr>
                    <w:t>Head of Housing Management</w:t>
                  </w:r>
                </w:p>
              </w:tc>
              <w:tc>
                <w:tcPr>
                  <w:tcW w:w="2553" w:type="dxa"/>
                </w:tcPr>
                <w:p w14:paraId="118DAF3D" w14:textId="77777777" w:rsidR="002669EB" w:rsidRPr="00444CEE" w:rsidRDefault="002669EB" w:rsidP="002669EB">
                  <w:pPr>
                    <w:rPr>
                      <w:rFonts w:cs="Arial"/>
                      <w:bCs/>
                    </w:rPr>
                  </w:pPr>
                  <w:r w:rsidRPr="00444CEE">
                    <w:rPr>
                      <w:rFonts w:cs="Arial"/>
                      <w:bCs/>
                    </w:rPr>
                    <w:t>January 2025</w:t>
                  </w:r>
                </w:p>
                <w:p w14:paraId="3071DA17" w14:textId="2A5A60D2" w:rsidR="002669EB" w:rsidRPr="00941731" w:rsidRDefault="002669EB" w:rsidP="002669EB">
                  <w:pPr>
                    <w:rPr>
                      <w:rFonts w:cs="Arial"/>
                      <w:b/>
                    </w:rPr>
                  </w:pPr>
                </w:p>
              </w:tc>
            </w:tr>
            <w:tr w:rsidR="002669EB" w:rsidRPr="00941731" w14:paraId="785C4C28" w14:textId="77777777" w:rsidTr="000A5E72">
              <w:tc>
                <w:tcPr>
                  <w:tcW w:w="3429" w:type="dxa"/>
                  <w:vAlign w:val="center"/>
                </w:tcPr>
                <w:p w14:paraId="14D12DC1" w14:textId="25780A96" w:rsidR="002669EB" w:rsidRPr="00941731" w:rsidRDefault="002669EB" w:rsidP="002669EB">
                  <w:pPr>
                    <w:jc w:val="left"/>
                    <w:rPr>
                      <w:rFonts w:cs="Arial"/>
                      <w:b/>
                    </w:rPr>
                  </w:pPr>
                  <w:r w:rsidRPr="00941731">
                    <w:rPr>
                      <w:rFonts w:cs="Arial"/>
                    </w:rPr>
                    <w:t xml:space="preserve">Review current practices from similar organisations </w:t>
                  </w:r>
                  <w:r>
                    <w:rPr>
                      <w:rFonts w:cs="Arial"/>
                    </w:rPr>
                    <w:t>(NFA)</w:t>
                  </w:r>
                </w:p>
              </w:tc>
              <w:tc>
                <w:tcPr>
                  <w:tcW w:w="3119" w:type="dxa"/>
                  <w:vAlign w:val="center"/>
                </w:tcPr>
                <w:p w14:paraId="37D50445" w14:textId="21420AFC" w:rsidR="002669EB" w:rsidRPr="00941731" w:rsidRDefault="002669EB" w:rsidP="002669EB">
                  <w:pPr>
                    <w:jc w:val="left"/>
                    <w:rPr>
                      <w:rFonts w:cs="Arial"/>
                      <w:b/>
                    </w:rPr>
                  </w:pPr>
                  <w:r w:rsidRPr="00444CEE">
                    <w:rPr>
                      <w:rFonts w:cs="Arial"/>
                      <w:bCs/>
                    </w:rPr>
                    <w:t>Head of Housing Management</w:t>
                  </w:r>
                </w:p>
              </w:tc>
              <w:tc>
                <w:tcPr>
                  <w:tcW w:w="2553" w:type="dxa"/>
                  <w:vAlign w:val="center"/>
                </w:tcPr>
                <w:p w14:paraId="03886C83" w14:textId="77777777" w:rsidR="002669EB" w:rsidRPr="00444CEE" w:rsidRDefault="002669EB" w:rsidP="002669EB">
                  <w:pPr>
                    <w:rPr>
                      <w:rFonts w:cs="Arial"/>
                      <w:bCs/>
                    </w:rPr>
                  </w:pPr>
                  <w:r w:rsidRPr="00444CEE">
                    <w:rPr>
                      <w:rFonts w:cs="Arial"/>
                      <w:bCs/>
                    </w:rPr>
                    <w:t>January 2025</w:t>
                  </w:r>
                </w:p>
                <w:p w14:paraId="02119A62" w14:textId="06C7642A" w:rsidR="002669EB" w:rsidRPr="00941731" w:rsidRDefault="002669EB" w:rsidP="002669EB">
                  <w:pPr>
                    <w:rPr>
                      <w:rFonts w:cs="Arial"/>
                      <w:b/>
                    </w:rPr>
                  </w:pPr>
                </w:p>
              </w:tc>
            </w:tr>
            <w:tr w:rsidR="002669EB" w:rsidRPr="00941731" w14:paraId="0E26297E" w14:textId="77777777" w:rsidTr="000A5E72">
              <w:tc>
                <w:tcPr>
                  <w:tcW w:w="3429" w:type="dxa"/>
                  <w:vAlign w:val="center"/>
                </w:tcPr>
                <w:p w14:paraId="6F52046F" w14:textId="7C32E508" w:rsidR="002669EB" w:rsidRPr="0025605A" w:rsidRDefault="002669EB" w:rsidP="002669EB">
                  <w:pPr>
                    <w:jc w:val="left"/>
                    <w:rPr>
                      <w:rFonts w:cs="Arial"/>
                      <w:b/>
                    </w:rPr>
                  </w:pPr>
                  <w:r w:rsidRPr="0025605A">
                    <w:rPr>
                      <w:rFonts w:cs="Arial"/>
                    </w:rPr>
                    <w:t>Review customer satisfaction / complaints data from the area the policy relates to</w:t>
                  </w:r>
                </w:p>
              </w:tc>
              <w:tc>
                <w:tcPr>
                  <w:tcW w:w="3119" w:type="dxa"/>
                  <w:vAlign w:val="center"/>
                </w:tcPr>
                <w:p w14:paraId="38811554" w14:textId="7DAC33B2" w:rsidR="002669EB" w:rsidRPr="0025605A" w:rsidRDefault="002669EB" w:rsidP="002669EB">
                  <w:pPr>
                    <w:jc w:val="left"/>
                    <w:rPr>
                      <w:rFonts w:cs="Arial"/>
                      <w:b/>
                    </w:rPr>
                  </w:pPr>
                  <w:r w:rsidRPr="0025605A">
                    <w:rPr>
                      <w:rFonts w:cs="Arial"/>
                      <w:bCs/>
                    </w:rPr>
                    <w:t>Head of Housing Management</w:t>
                  </w:r>
                </w:p>
              </w:tc>
              <w:tc>
                <w:tcPr>
                  <w:tcW w:w="2553" w:type="dxa"/>
                </w:tcPr>
                <w:p w14:paraId="23B79DA8" w14:textId="77777777" w:rsidR="002669EB" w:rsidRPr="0025605A" w:rsidRDefault="002669EB" w:rsidP="002669EB">
                  <w:pPr>
                    <w:rPr>
                      <w:rFonts w:cs="Arial"/>
                      <w:bCs/>
                    </w:rPr>
                  </w:pPr>
                  <w:r w:rsidRPr="0025605A">
                    <w:rPr>
                      <w:rFonts w:cs="Arial"/>
                      <w:bCs/>
                    </w:rPr>
                    <w:t>January 2025</w:t>
                  </w:r>
                </w:p>
                <w:p w14:paraId="4B1C0CDC" w14:textId="77777777" w:rsidR="002669EB" w:rsidRPr="0025605A" w:rsidRDefault="002669EB" w:rsidP="002669EB">
                  <w:pPr>
                    <w:rPr>
                      <w:rFonts w:cs="Arial"/>
                      <w:b/>
                    </w:rPr>
                  </w:pPr>
                </w:p>
              </w:tc>
            </w:tr>
            <w:tr w:rsidR="002669EB" w:rsidRPr="00941731" w14:paraId="31367ABB" w14:textId="77777777" w:rsidTr="000A5E72">
              <w:tc>
                <w:tcPr>
                  <w:tcW w:w="3429" w:type="dxa"/>
                </w:tcPr>
                <w:p w14:paraId="71F92BDD" w14:textId="7BF11A23" w:rsidR="002669EB" w:rsidRPr="0025605A" w:rsidRDefault="002669EB" w:rsidP="002669EB">
                  <w:pPr>
                    <w:jc w:val="left"/>
                    <w:rPr>
                      <w:rFonts w:cs="Arial"/>
                      <w:b/>
                    </w:rPr>
                  </w:pPr>
                  <w:r w:rsidRPr="0025605A">
                    <w:rPr>
                      <w:rFonts w:cs="Arial"/>
                    </w:rPr>
                    <w:t>Undertake customer consultation if applicable</w:t>
                  </w:r>
                </w:p>
              </w:tc>
              <w:tc>
                <w:tcPr>
                  <w:tcW w:w="3119" w:type="dxa"/>
                </w:tcPr>
                <w:p w14:paraId="7F14A0DD" w14:textId="52481ED0" w:rsidR="002669EB" w:rsidRPr="0025605A" w:rsidRDefault="002669EB" w:rsidP="002669EB">
                  <w:pPr>
                    <w:jc w:val="left"/>
                    <w:rPr>
                      <w:rFonts w:cs="Arial"/>
                      <w:b/>
                    </w:rPr>
                  </w:pPr>
                  <w:r w:rsidRPr="0025605A">
                    <w:rPr>
                      <w:rFonts w:cs="Arial"/>
                      <w:bCs/>
                    </w:rPr>
                    <w:t>Head of Housing Management</w:t>
                  </w:r>
                </w:p>
              </w:tc>
              <w:tc>
                <w:tcPr>
                  <w:tcW w:w="2553" w:type="dxa"/>
                </w:tcPr>
                <w:p w14:paraId="5627F51F" w14:textId="77777777" w:rsidR="002669EB" w:rsidRPr="0025605A" w:rsidRDefault="002669EB" w:rsidP="002669EB">
                  <w:pPr>
                    <w:rPr>
                      <w:rFonts w:cs="Arial"/>
                      <w:bCs/>
                    </w:rPr>
                  </w:pPr>
                  <w:r w:rsidRPr="0025605A">
                    <w:rPr>
                      <w:rFonts w:cs="Arial"/>
                      <w:bCs/>
                    </w:rPr>
                    <w:t>January 2025</w:t>
                  </w:r>
                </w:p>
                <w:p w14:paraId="556C278F" w14:textId="7739D536" w:rsidR="002669EB" w:rsidRPr="0025605A" w:rsidRDefault="002669EB" w:rsidP="002669EB">
                  <w:pPr>
                    <w:rPr>
                      <w:rFonts w:cs="Arial"/>
                      <w:b/>
                    </w:rPr>
                  </w:pPr>
                </w:p>
              </w:tc>
            </w:tr>
            <w:tr w:rsidR="002669EB" w:rsidRPr="00941731" w14:paraId="0AEA283C" w14:textId="77777777" w:rsidTr="000A5E72">
              <w:tc>
                <w:tcPr>
                  <w:tcW w:w="3429" w:type="dxa"/>
                </w:tcPr>
                <w:p w14:paraId="22D078E1" w14:textId="3053841A" w:rsidR="002669EB" w:rsidRPr="0025605A" w:rsidRDefault="002669EB" w:rsidP="002669EB">
                  <w:pPr>
                    <w:jc w:val="left"/>
                    <w:rPr>
                      <w:rFonts w:cs="Arial"/>
                      <w:b/>
                    </w:rPr>
                  </w:pPr>
                  <w:r w:rsidRPr="0025605A">
                    <w:rPr>
                      <w:rFonts w:cs="Arial"/>
                    </w:rPr>
                    <w:t>Staff consultation through Trade Unions if applicable</w:t>
                  </w:r>
                </w:p>
              </w:tc>
              <w:tc>
                <w:tcPr>
                  <w:tcW w:w="3119" w:type="dxa"/>
                </w:tcPr>
                <w:p w14:paraId="32BA05D6" w14:textId="33D2E1D0" w:rsidR="002669EB" w:rsidRPr="0025605A" w:rsidRDefault="002669EB" w:rsidP="002669EB">
                  <w:pPr>
                    <w:jc w:val="left"/>
                    <w:rPr>
                      <w:rFonts w:cs="Arial"/>
                      <w:b/>
                    </w:rPr>
                  </w:pPr>
                  <w:r w:rsidRPr="0025605A">
                    <w:rPr>
                      <w:rFonts w:cs="Arial"/>
                      <w:bCs/>
                    </w:rPr>
                    <w:t>Head of Housing Management</w:t>
                  </w:r>
                </w:p>
              </w:tc>
              <w:tc>
                <w:tcPr>
                  <w:tcW w:w="2553" w:type="dxa"/>
                </w:tcPr>
                <w:p w14:paraId="55F37DDA" w14:textId="77777777" w:rsidR="002669EB" w:rsidRPr="0025605A" w:rsidRDefault="002669EB" w:rsidP="002669EB">
                  <w:pPr>
                    <w:rPr>
                      <w:rFonts w:cs="Arial"/>
                      <w:bCs/>
                    </w:rPr>
                  </w:pPr>
                  <w:r w:rsidRPr="0025605A">
                    <w:rPr>
                      <w:rFonts w:cs="Arial"/>
                      <w:bCs/>
                    </w:rPr>
                    <w:t>N/A</w:t>
                  </w:r>
                </w:p>
                <w:p w14:paraId="257EC221" w14:textId="77777777" w:rsidR="002669EB" w:rsidRPr="0025605A" w:rsidRDefault="002669EB" w:rsidP="002669EB">
                  <w:pPr>
                    <w:rPr>
                      <w:rFonts w:cs="Arial"/>
                      <w:b/>
                    </w:rPr>
                  </w:pPr>
                </w:p>
              </w:tc>
            </w:tr>
            <w:tr w:rsidR="002669EB" w:rsidRPr="00941731" w14:paraId="09173D45" w14:textId="77777777" w:rsidTr="000A5E72">
              <w:tc>
                <w:tcPr>
                  <w:tcW w:w="3429" w:type="dxa"/>
                </w:tcPr>
                <w:p w14:paraId="16034E1A" w14:textId="39146372" w:rsidR="002669EB" w:rsidRPr="0025605A" w:rsidRDefault="002669EB" w:rsidP="002669EB">
                  <w:pPr>
                    <w:jc w:val="left"/>
                    <w:rPr>
                      <w:rFonts w:cs="Arial"/>
                      <w:b/>
                    </w:rPr>
                  </w:pPr>
                  <w:r w:rsidRPr="0025605A">
                    <w:rPr>
                      <w:rFonts w:cs="Arial"/>
                    </w:rPr>
                    <w:t>Trade Union consultation if applicable</w:t>
                  </w:r>
                </w:p>
              </w:tc>
              <w:tc>
                <w:tcPr>
                  <w:tcW w:w="3119" w:type="dxa"/>
                </w:tcPr>
                <w:p w14:paraId="17D7EE2D" w14:textId="3C2DB0A5" w:rsidR="002669EB" w:rsidRPr="0025605A" w:rsidRDefault="002669EB" w:rsidP="002669EB">
                  <w:pPr>
                    <w:jc w:val="left"/>
                    <w:rPr>
                      <w:rFonts w:cs="Arial"/>
                      <w:b/>
                    </w:rPr>
                  </w:pPr>
                  <w:r w:rsidRPr="0025605A">
                    <w:rPr>
                      <w:rFonts w:cs="Arial"/>
                      <w:bCs/>
                    </w:rPr>
                    <w:t>Head of Housing Management</w:t>
                  </w:r>
                </w:p>
              </w:tc>
              <w:tc>
                <w:tcPr>
                  <w:tcW w:w="2553" w:type="dxa"/>
                </w:tcPr>
                <w:p w14:paraId="792FFAFE" w14:textId="77777777" w:rsidR="002669EB" w:rsidRPr="0025605A" w:rsidRDefault="002669EB" w:rsidP="002669EB">
                  <w:pPr>
                    <w:rPr>
                      <w:rFonts w:cs="Arial"/>
                      <w:bCs/>
                    </w:rPr>
                  </w:pPr>
                  <w:r w:rsidRPr="0025605A">
                    <w:rPr>
                      <w:rFonts w:cs="Arial"/>
                      <w:bCs/>
                    </w:rPr>
                    <w:t>N/A</w:t>
                  </w:r>
                </w:p>
                <w:p w14:paraId="51D8E6B3" w14:textId="77777777" w:rsidR="002669EB" w:rsidRPr="0025605A" w:rsidRDefault="002669EB" w:rsidP="002669EB">
                  <w:pPr>
                    <w:rPr>
                      <w:rFonts w:cs="Arial"/>
                      <w:b/>
                    </w:rPr>
                  </w:pPr>
                </w:p>
              </w:tc>
            </w:tr>
            <w:tr w:rsidR="002669EB" w:rsidRPr="00941731" w14:paraId="1B0C523E" w14:textId="77777777" w:rsidTr="000A5E72">
              <w:tc>
                <w:tcPr>
                  <w:tcW w:w="3429" w:type="dxa"/>
                </w:tcPr>
                <w:p w14:paraId="6E274824" w14:textId="63365FB2" w:rsidR="002669EB" w:rsidRPr="0025605A" w:rsidRDefault="002669EB" w:rsidP="002669EB">
                  <w:pPr>
                    <w:jc w:val="left"/>
                    <w:rPr>
                      <w:rFonts w:cs="Arial"/>
                    </w:rPr>
                  </w:pPr>
                  <w:r w:rsidRPr="0025605A">
                    <w:rPr>
                      <w:rFonts w:cs="Arial"/>
                    </w:rPr>
                    <w:t>Other stakeholder consultation if applicable</w:t>
                  </w:r>
                </w:p>
              </w:tc>
              <w:tc>
                <w:tcPr>
                  <w:tcW w:w="3119" w:type="dxa"/>
                  <w:vAlign w:val="center"/>
                </w:tcPr>
                <w:p w14:paraId="74077E5E" w14:textId="3FDE79BE" w:rsidR="002669EB" w:rsidRPr="0025605A" w:rsidRDefault="002669EB" w:rsidP="002669EB">
                  <w:pPr>
                    <w:jc w:val="left"/>
                    <w:rPr>
                      <w:rFonts w:cs="Arial"/>
                    </w:rPr>
                  </w:pPr>
                  <w:r w:rsidRPr="0025605A">
                    <w:rPr>
                      <w:rFonts w:cs="Arial"/>
                      <w:bCs/>
                    </w:rPr>
                    <w:t>Head of Housing Management</w:t>
                  </w:r>
                </w:p>
              </w:tc>
              <w:tc>
                <w:tcPr>
                  <w:tcW w:w="2553" w:type="dxa"/>
                  <w:vAlign w:val="center"/>
                </w:tcPr>
                <w:p w14:paraId="40BCEA91" w14:textId="77777777" w:rsidR="002669EB" w:rsidRPr="0025605A" w:rsidRDefault="002669EB" w:rsidP="002669EB">
                  <w:pPr>
                    <w:rPr>
                      <w:rFonts w:cs="Arial"/>
                      <w:bCs/>
                    </w:rPr>
                  </w:pPr>
                  <w:r w:rsidRPr="0025605A">
                    <w:rPr>
                      <w:rFonts w:cs="Arial"/>
                      <w:bCs/>
                    </w:rPr>
                    <w:t>N/A</w:t>
                  </w:r>
                </w:p>
                <w:p w14:paraId="5E87CE90" w14:textId="02C90046" w:rsidR="002669EB" w:rsidRPr="0025605A" w:rsidRDefault="002669EB" w:rsidP="002669EB">
                  <w:pPr>
                    <w:rPr>
                      <w:rFonts w:cs="Arial"/>
                      <w:b/>
                    </w:rPr>
                  </w:pPr>
                </w:p>
              </w:tc>
            </w:tr>
            <w:tr w:rsidR="002669EB" w:rsidRPr="00941731" w14:paraId="4CFCCB26" w14:textId="77777777" w:rsidTr="000A5E72">
              <w:tc>
                <w:tcPr>
                  <w:tcW w:w="3429" w:type="dxa"/>
                </w:tcPr>
                <w:p w14:paraId="4341CCE9" w14:textId="4118F344" w:rsidR="002669EB" w:rsidRPr="00941731" w:rsidRDefault="002669EB" w:rsidP="002669EB">
                  <w:pPr>
                    <w:jc w:val="left"/>
                    <w:rPr>
                      <w:rFonts w:cs="Arial"/>
                    </w:rPr>
                  </w:pPr>
                  <w:r w:rsidRPr="00941731">
                    <w:rPr>
                      <w:rFonts w:cs="Arial"/>
                    </w:rPr>
                    <w:t xml:space="preserve">Equality analysis carried out </w:t>
                  </w:r>
                  <w:r>
                    <w:rPr>
                      <w:rFonts w:cs="Arial"/>
                    </w:rPr>
                    <w:t>through</w:t>
                  </w:r>
                  <w:r w:rsidRPr="00941731">
                    <w:rPr>
                      <w:rFonts w:cs="Arial"/>
                    </w:rPr>
                    <w:t xml:space="preserve"> the intranet</w:t>
                  </w:r>
                  <w:r>
                    <w:rPr>
                      <w:rFonts w:cs="Arial"/>
                    </w:rPr>
                    <w:t xml:space="preserve"> for all new policies or fundamental changes</w:t>
                  </w:r>
                </w:p>
              </w:tc>
              <w:tc>
                <w:tcPr>
                  <w:tcW w:w="3119" w:type="dxa"/>
                  <w:vAlign w:val="center"/>
                </w:tcPr>
                <w:p w14:paraId="4E5ED385" w14:textId="54F132A8" w:rsidR="002669EB" w:rsidRPr="00941731" w:rsidRDefault="002669EB" w:rsidP="002669EB">
                  <w:pPr>
                    <w:jc w:val="left"/>
                    <w:rPr>
                      <w:rFonts w:cs="Arial"/>
                    </w:rPr>
                  </w:pPr>
                  <w:r w:rsidRPr="00444CEE">
                    <w:rPr>
                      <w:rFonts w:cs="Arial"/>
                      <w:bCs/>
                    </w:rPr>
                    <w:t>Head of Housing Management</w:t>
                  </w:r>
                  <w:r>
                    <w:rPr>
                      <w:rFonts w:cs="Arial"/>
                      <w:bCs/>
                    </w:rPr>
                    <w:t>/EDI Manager</w:t>
                  </w:r>
                </w:p>
              </w:tc>
              <w:tc>
                <w:tcPr>
                  <w:tcW w:w="2553" w:type="dxa"/>
                  <w:vAlign w:val="center"/>
                </w:tcPr>
                <w:p w14:paraId="2A7FA61A" w14:textId="77777777" w:rsidR="002669EB" w:rsidRPr="00444CEE" w:rsidRDefault="002669EB" w:rsidP="002669EB">
                  <w:pPr>
                    <w:rPr>
                      <w:rFonts w:cs="Arial"/>
                      <w:bCs/>
                    </w:rPr>
                  </w:pPr>
                  <w:r w:rsidRPr="00444CEE">
                    <w:rPr>
                      <w:rFonts w:cs="Arial"/>
                      <w:bCs/>
                    </w:rPr>
                    <w:t>January 2025</w:t>
                  </w:r>
                </w:p>
                <w:p w14:paraId="26E57D18" w14:textId="741C2810" w:rsidR="002669EB" w:rsidRPr="00941731" w:rsidRDefault="002669EB" w:rsidP="002669EB">
                  <w:pPr>
                    <w:rPr>
                      <w:rFonts w:cs="Arial"/>
                      <w:b/>
                    </w:rPr>
                  </w:pPr>
                </w:p>
              </w:tc>
            </w:tr>
          </w:tbl>
          <w:p w14:paraId="67E50A95" w14:textId="77777777" w:rsidR="00D70FE2" w:rsidRPr="00941731" w:rsidRDefault="00D70FE2" w:rsidP="00941731">
            <w:pPr>
              <w:rPr>
                <w:rFonts w:cs="Arial"/>
                <w:b/>
              </w:rPr>
            </w:pPr>
          </w:p>
        </w:tc>
        <w:tc>
          <w:tcPr>
            <w:tcW w:w="1098" w:type="dxa"/>
            <w:vAlign w:val="center"/>
          </w:tcPr>
          <w:p w14:paraId="58D3F25C" w14:textId="35E07D00" w:rsidR="00EB5A58" w:rsidRPr="00941731" w:rsidRDefault="00EB5A58" w:rsidP="00D70FE2">
            <w:pPr>
              <w:pBdr>
                <w:between w:val="single" w:sz="4" w:space="1" w:color="auto"/>
                <w:bar w:val="single" w:sz="4" w:color="auto"/>
              </w:pBdr>
              <w:jc w:val="center"/>
              <w:rPr>
                <w:rFonts w:cs="Arial"/>
                <w:b/>
              </w:rPr>
            </w:pPr>
          </w:p>
        </w:tc>
        <w:tc>
          <w:tcPr>
            <w:tcW w:w="886" w:type="dxa"/>
            <w:vAlign w:val="center"/>
          </w:tcPr>
          <w:p w14:paraId="56059367" w14:textId="4475DDE6" w:rsidR="00EB5A58" w:rsidRPr="00941731" w:rsidRDefault="00EB5A58" w:rsidP="00D70FE2">
            <w:pPr>
              <w:jc w:val="center"/>
              <w:rPr>
                <w:rFonts w:cs="Arial"/>
                <w:b/>
              </w:rPr>
            </w:pPr>
          </w:p>
        </w:tc>
      </w:tr>
      <w:tr w:rsidR="00EB5A58" w14:paraId="4BAC9887" w14:textId="77777777" w:rsidTr="00941731">
        <w:trPr>
          <w:trHeight w:val="397"/>
        </w:trPr>
        <w:tc>
          <w:tcPr>
            <w:tcW w:w="7484" w:type="dxa"/>
            <w:vAlign w:val="center"/>
          </w:tcPr>
          <w:p w14:paraId="5D92FE00" w14:textId="77777777" w:rsidR="00941731" w:rsidRDefault="00941731" w:rsidP="00941731">
            <w:pPr>
              <w:rPr>
                <w:rFonts w:cs="Arial"/>
                <w:b/>
              </w:rPr>
            </w:pPr>
          </w:p>
          <w:p w14:paraId="0603CE31" w14:textId="77777777" w:rsidR="00941731" w:rsidRPr="00E02019" w:rsidRDefault="00941731" w:rsidP="00E02019">
            <w:pPr>
              <w:jc w:val="left"/>
              <w:rPr>
                <w:rFonts w:cs="Arial"/>
                <w:b/>
                <w:bCs/>
              </w:rPr>
            </w:pPr>
            <w:r w:rsidRPr="00657CD0">
              <w:rPr>
                <w:rFonts w:cs="Arial"/>
                <w:b/>
              </w:rPr>
              <w:t>NB</w:t>
            </w:r>
            <w:r w:rsidRPr="00DB0F88">
              <w:rPr>
                <w:rFonts w:cs="Arial"/>
              </w:rPr>
              <w:t xml:space="preserve">. </w:t>
            </w:r>
            <w:r w:rsidRPr="00E02019">
              <w:rPr>
                <w:rFonts w:cs="Arial"/>
                <w:b/>
                <w:bCs/>
              </w:rPr>
              <w:t xml:space="preserve">The above table must be completed on all occasions. The policy will not be accepted or approved by EMT without this information completed. </w:t>
            </w:r>
          </w:p>
          <w:p w14:paraId="7B500688" w14:textId="77777777" w:rsidR="00E4333F" w:rsidRPr="00752C7C" w:rsidRDefault="00E4333F" w:rsidP="00941731">
            <w:pPr>
              <w:rPr>
                <w:rFonts w:cs="Arial"/>
              </w:rPr>
            </w:pPr>
          </w:p>
        </w:tc>
        <w:tc>
          <w:tcPr>
            <w:tcW w:w="1098" w:type="dxa"/>
            <w:vAlign w:val="center"/>
          </w:tcPr>
          <w:p w14:paraId="481793A8" w14:textId="3248B860" w:rsidR="00EB5A58" w:rsidRDefault="00EB5A58" w:rsidP="00D70FE2">
            <w:pPr>
              <w:jc w:val="center"/>
            </w:pPr>
          </w:p>
        </w:tc>
        <w:tc>
          <w:tcPr>
            <w:tcW w:w="886" w:type="dxa"/>
            <w:vAlign w:val="center"/>
          </w:tcPr>
          <w:p w14:paraId="4B886C39" w14:textId="50F7DEBF" w:rsidR="00EB5A58" w:rsidRDefault="00EB5A58" w:rsidP="00D70FE2">
            <w:pPr>
              <w:jc w:val="center"/>
            </w:pPr>
          </w:p>
        </w:tc>
      </w:tr>
      <w:tr w:rsidR="00AA5C6A" w14:paraId="59302564" w14:textId="77777777" w:rsidTr="00941731">
        <w:trPr>
          <w:trHeight w:val="397"/>
        </w:trPr>
        <w:tc>
          <w:tcPr>
            <w:tcW w:w="7484" w:type="dxa"/>
            <w:vAlign w:val="center"/>
          </w:tcPr>
          <w:p w14:paraId="307838A4" w14:textId="77777777" w:rsidR="00E4333F" w:rsidRPr="00752C7C" w:rsidRDefault="00E4333F" w:rsidP="00E4333F">
            <w:pPr>
              <w:rPr>
                <w:rFonts w:cs="Arial"/>
              </w:rPr>
            </w:pPr>
          </w:p>
        </w:tc>
        <w:tc>
          <w:tcPr>
            <w:tcW w:w="1098" w:type="dxa"/>
            <w:vAlign w:val="center"/>
          </w:tcPr>
          <w:p w14:paraId="0F21B084" w14:textId="28E7D0F0" w:rsidR="00AA5C6A" w:rsidRDefault="00AA5C6A" w:rsidP="00D70FE2">
            <w:pPr>
              <w:jc w:val="center"/>
            </w:pPr>
          </w:p>
        </w:tc>
        <w:tc>
          <w:tcPr>
            <w:tcW w:w="886" w:type="dxa"/>
            <w:vAlign w:val="center"/>
          </w:tcPr>
          <w:p w14:paraId="1A7D6FA1" w14:textId="7A299937" w:rsidR="00E4333F" w:rsidRDefault="00E4333F" w:rsidP="00D70FE2">
            <w:pPr>
              <w:jc w:val="center"/>
            </w:pPr>
          </w:p>
        </w:tc>
      </w:tr>
      <w:tr w:rsidR="00AA5C6A" w14:paraId="0E0BEEA4" w14:textId="77777777" w:rsidTr="00941731">
        <w:trPr>
          <w:trHeight w:val="397"/>
        </w:trPr>
        <w:tc>
          <w:tcPr>
            <w:tcW w:w="7484" w:type="dxa"/>
            <w:vAlign w:val="center"/>
          </w:tcPr>
          <w:p w14:paraId="05DEBA3F" w14:textId="77777777" w:rsidR="00D70FE2" w:rsidRDefault="00D70FE2" w:rsidP="00D70FE2">
            <w:pPr>
              <w:rPr>
                <w:rFonts w:cs="Arial"/>
              </w:rPr>
            </w:pPr>
          </w:p>
          <w:p w14:paraId="4C9BB22B" w14:textId="77777777" w:rsidR="00941731" w:rsidRDefault="00941731" w:rsidP="00D70FE2">
            <w:pPr>
              <w:rPr>
                <w:rFonts w:cs="Arial"/>
              </w:rPr>
            </w:pPr>
          </w:p>
          <w:p w14:paraId="0C0EE6B4" w14:textId="7AF00B53" w:rsidR="00941731" w:rsidRDefault="00941731" w:rsidP="00D70FE2">
            <w:pPr>
              <w:rPr>
                <w:rFonts w:cs="Arial"/>
              </w:rPr>
            </w:pPr>
          </w:p>
          <w:p w14:paraId="65EF5CEC" w14:textId="2ACCA79F" w:rsidR="000A5E72" w:rsidRDefault="000A5E72" w:rsidP="00D70FE2">
            <w:pPr>
              <w:rPr>
                <w:rFonts w:cs="Arial"/>
              </w:rPr>
            </w:pPr>
          </w:p>
          <w:p w14:paraId="08474918" w14:textId="31CBD864" w:rsidR="000A5E72" w:rsidRDefault="000A5E72" w:rsidP="00D70FE2">
            <w:pPr>
              <w:rPr>
                <w:rFonts w:cs="Arial"/>
              </w:rPr>
            </w:pPr>
          </w:p>
          <w:p w14:paraId="7439306B" w14:textId="51036CA2" w:rsidR="000A5E72" w:rsidRDefault="000A5E72" w:rsidP="00D70FE2">
            <w:pPr>
              <w:rPr>
                <w:rFonts w:cs="Arial"/>
              </w:rPr>
            </w:pPr>
          </w:p>
          <w:p w14:paraId="0B6B751F" w14:textId="3478D9D0" w:rsidR="000A5E72" w:rsidRDefault="000A5E72" w:rsidP="00D70FE2">
            <w:pPr>
              <w:rPr>
                <w:rFonts w:cs="Arial"/>
              </w:rPr>
            </w:pPr>
          </w:p>
          <w:p w14:paraId="1B48D935" w14:textId="54C17528" w:rsidR="000A5E72" w:rsidRDefault="000A5E72" w:rsidP="00D70FE2">
            <w:pPr>
              <w:rPr>
                <w:rFonts w:cs="Arial"/>
              </w:rPr>
            </w:pPr>
          </w:p>
          <w:p w14:paraId="1CB8747F" w14:textId="6B59F45E" w:rsidR="000A5E72" w:rsidRDefault="000A5E72" w:rsidP="00D70FE2">
            <w:pPr>
              <w:rPr>
                <w:rFonts w:cs="Arial"/>
              </w:rPr>
            </w:pPr>
          </w:p>
          <w:p w14:paraId="750097E1" w14:textId="32CF9BEF" w:rsidR="000A5E72" w:rsidRDefault="000A5E72" w:rsidP="00D70FE2">
            <w:pPr>
              <w:rPr>
                <w:rFonts w:cs="Arial"/>
              </w:rPr>
            </w:pPr>
          </w:p>
          <w:p w14:paraId="619DE9C7" w14:textId="021E5BDA" w:rsidR="000A5E72" w:rsidRDefault="000A5E72" w:rsidP="00D70FE2">
            <w:pPr>
              <w:rPr>
                <w:rFonts w:cs="Arial"/>
              </w:rPr>
            </w:pPr>
          </w:p>
          <w:p w14:paraId="61B66487" w14:textId="2D3B80F0" w:rsidR="000A5E72" w:rsidRDefault="000A5E72" w:rsidP="00D70FE2">
            <w:pPr>
              <w:rPr>
                <w:rFonts w:cs="Arial"/>
              </w:rPr>
            </w:pPr>
          </w:p>
          <w:p w14:paraId="5ECE4543" w14:textId="77777777" w:rsidR="000A5E72" w:rsidRDefault="000A5E72" w:rsidP="00D70FE2">
            <w:pPr>
              <w:rPr>
                <w:rFonts w:cs="Arial"/>
              </w:rPr>
            </w:pPr>
          </w:p>
          <w:p w14:paraId="42E9D01B" w14:textId="77777777" w:rsidR="00941731" w:rsidRPr="00752C7C" w:rsidRDefault="00941731" w:rsidP="00D70FE2">
            <w:pPr>
              <w:rPr>
                <w:rFonts w:cs="Arial"/>
              </w:rPr>
            </w:pPr>
          </w:p>
        </w:tc>
        <w:tc>
          <w:tcPr>
            <w:tcW w:w="1098" w:type="dxa"/>
            <w:vAlign w:val="center"/>
          </w:tcPr>
          <w:p w14:paraId="1EE1622B" w14:textId="15534378" w:rsidR="00AA5C6A" w:rsidRDefault="00AA5C6A" w:rsidP="00D70FE2">
            <w:pPr>
              <w:jc w:val="center"/>
            </w:pPr>
          </w:p>
        </w:tc>
        <w:tc>
          <w:tcPr>
            <w:tcW w:w="886" w:type="dxa"/>
            <w:vAlign w:val="center"/>
          </w:tcPr>
          <w:p w14:paraId="477FD49A" w14:textId="77777777" w:rsidR="00AA5C6A" w:rsidRDefault="00AA5C6A" w:rsidP="00D70FE2">
            <w:pPr>
              <w:jc w:val="center"/>
            </w:pPr>
          </w:p>
        </w:tc>
      </w:tr>
      <w:tr w:rsidR="00DB0F88" w14:paraId="459C1D2B" w14:textId="77777777" w:rsidTr="00941731">
        <w:trPr>
          <w:trHeight w:val="397"/>
        </w:trPr>
        <w:tc>
          <w:tcPr>
            <w:tcW w:w="7484" w:type="dxa"/>
            <w:vAlign w:val="center"/>
          </w:tcPr>
          <w:p w14:paraId="7ACEC31F" w14:textId="128BC953" w:rsidR="00DB0F88" w:rsidRPr="00752C7C" w:rsidRDefault="00DB0F88" w:rsidP="00D70FE2">
            <w:pPr>
              <w:rPr>
                <w:rFonts w:cs="Arial"/>
              </w:rPr>
            </w:pPr>
          </w:p>
        </w:tc>
        <w:tc>
          <w:tcPr>
            <w:tcW w:w="1098" w:type="dxa"/>
            <w:vAlign w:val="center"/>
          </w:tcPr>
          <w:p w14:paraId="69206948" w14:textId="0B27D7BB" w:rsidR="00DB0F88" w:rsidRDefault="00DB0F88" w:rsidP="00D70FE2">
            <w:pPr>
              <w:jc w:val="center"/>
            </w:pPr>
          </w:p>
        </w:tc>
        <w:tc>
          <w:tcPr>
            <w:tcW w:w="886" w:type="dxa"/>
            <w:vAlign w:val="center"/>
          </w:tcPr>
          <w:p w14:paraId="1B73D416" w14:textId="77777777" w:rsidR="00DB0F88" w:rsidRDefault="00DB0F88" w:rsidP="00D70FE2">
            <w:pPr>
              <w:jc w:val="center"/>
            </w:pPr>
          </w:p>
        </w:tc>
      </w:tr>
    </w:tbl>
    <w:p w14:paraId="24716BBE" w14:textId="77777777" w:rsidR="00EB5A58" w:rsidRDefault="00EB5A58" w:rsidP="00AF1C4A"/>
    <w:p w14:paraId="2E3F2919" w14:textId="77777777" w:rsidR="00EB5A58" w:rsidRDefault="00EB5A58" w:rsidP="00AF1C4A"/>
    <w:p w14:paraId="48186C17" w14:textId="77777777" w:rsidR="00EB5A58" w:rsidRDefault="00EB5A58" w:rsidP="00AF1C4A"/>
    <w:p w14:paraId="3CF2A2CE" w14:textId="77777777" w:rsidR="005F2044" w:rsidRDefault="00BC49F9" w:rsidP="00112C58">
      <w:pPr>
        <w:pStyle w:val="Title"/>
        <w:jc w:val="left"/>
      </w:pPr>
      <w:r>
        <w:rPr>
          <w:noProof/>
          <w:lang w:eastAsia="en-GB"/>
        </w:rPr>
        <w:lastRenderedPageBreak/>
        <w:drawing>
          <wp:anchor distT="0" distB="0" distL="114300" distR="114300" simplePos="0" relativeHeight="251658241" behindDoc="0" locked="0" layoutInCell="1" allowOverlap="1" wp14:anchorId="270A5D86" wp14:editId="05EECE3A">
            <wp:simplePos x="0" y="0"/>
            <wp:positionH relativeFrom="column">
              <wp:posOffset>-224790</wp:posOffset>
            </wp:positionH>
            <wp:positionV relativeFrom="paragraph">
              <wp:posOffset>1270</wp:posOffset>
            </wp:positionV>
            <wp:extent cx="1621155" cy="1513205"/>
            <wp:effectExtent l="0" t="0" r="0" b="0"/>
            <wp:wrapSquare wrapText="bothSides"/>
            <wp:docPr id="1" name="Picture 1" descr="S:\SLHD_BAT\10. Random Docs\COLOUR SLH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SLHD_BAT\10. Random Docs\COLOUR SLHD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155" cy="151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54C85" w14:textId="77777777" w:rsidR="00A5264A" w:rsidRDefault="00A5264A" w:rsidP="00112C58">
      <w:pPr>
        <w:pStyle w:val="Title"/>
        <w:jc w:val="left"/>
      </w:pPr>
    </w:p>
    <w:p w14:paraId="4EA3C7F3" w14:textId="77777777" w:rsidR="00A5264A" w:rsidRDefault="00A5264A" w:rsidP="00112C58">
      <w:pPr>
        <w:pStyle w:val="Title"/>
        <w:jc w:val="left"/>
      </w:pPr>
    </w:p>
    <w:p w14:paraId="0DCC453D" w14:textId="45E072E0" w:rsidR="00112C58" w:rsidRPr="00A5264A" w:rsidRDefault="00112C58" w:rsidP="00CD5DFB">
      <w:pPr>
        <w:pStyle w:val="Title"/>
        <w:jc w:val="center"/>
        <w:rPr>
          <w:sz w:val="48"/>
          <w:szCs w:val="48"/>
        </w:rPr>
      </w:pPr>
      <w:r w:rsidRPr="00A5264A">
        <w:rPr>
          <w:sz w:val="48"/>
          <w:szCs w:val="48"/>
        </w:rPr>
        <w:t>NO ACCESS POLICY</w:t>
      </w:r>
    </w:p>
    <w:p w14:paraId="6BF7772F" w14:textId="7088F00D" w:rsidR="00204B0A" w:rsidRDefault="00204B0A" w:rsidP="0007271A">
      <w:pPr>
        <w:jc w:val="center"/>
        <w:rPr>
          <w:rFonts w:ascii="Arial Black" w:hAnsi="Arial Black"/>
          <w:sz w:val="40"/>
          <w:szCs w:val="40"/>
        </w:rPr>
      </w:pPr>
    </w:p>
    <w:p w14:paraId="6091C80D" w14:textId="53680DFE" w:rsidR="009C2857" w:rsidRPr="005F2044" w:rsidRDefault="009C2857" w:rsidP="0089012E">
      <w:pPr>
        <w:pStyle w:val="ListParagraph"/>
        <w:numPr>
          <w:ilvl w:val="0"/>
          <w:numId w:val="33"/>
        </w:numPr>
        <w:ind w:left="709" w:hanging="709"/>
        <w:jc w:val="left"/>
        <w:rPr>
          <w:b/>
          <w:bCs/>
        </w:rPr>
      </w:pPr>
      <w:r w:rsidRPr="005F2044">
        <w:rPr>
          <w:b/>
          <w:bCs/>
        </w:rPr>
        <w:t>Introduction / Background</w:t>
      </w:r>
    </w:p>
    <w:p w14:paraId="46F22AFD" w14:textId="77777777" w:rsidR="005F2044" w:rsidRDefault="005F2044" w:rsidP="0089012E">
      <w:pPr>
        <w:ind w:left="360"/>
        <w:jc w:val="left"/>
      </w:pPr>
    </w:p>
    <w:p w14:paraId="1D1F6F55" w14:textId="5BADF1C1" w:rsidR="00D96114" w:rsidRDefault="005F2044" w:rsidP="005F2044">
      <w:pPr>
        <w:pStyle w:val="NormalWeb"/>
        <w:spacing w:before="75" w:beforeAutospacing="0" w:after="75" w:afterAutospacing="0" w:line="300" w:lineRule="atLeast"/>
        <w:ind w:left="720" w:right="75" w:hanging="720"/>
        <w:rPr>
          <w:rFonts w:ascii="Arial" w:hAnsi="Arial" w:cs="Arial"/>
        </w:rPr>
      </w:pPr>
      <w:r>
        <w:rPr>
          <w:rFonts w:ascii="Arial" w:hAnsi="Arial" w:cs="Arial"/>
        </w:rPr>
        <w:t>1.1</w:t>
      </w:r>
      <w:r>
        <w:rPr>
          <w:rFonts w:ascii="Arial" w:hAnsi="Arial" w:cs="Arial"/>
        </w:rPr>
        <w:tab/>
      </w:r>
      <w:r w:rsidR="00012F0E" w:rsidRPr="00C53EBF">
        <w:rPr>
          <w:rFonts w:ascii="Arial" w:hAnsi="Arial" w:cs="Arial"/>
        </w:rPr>
        <w:t xml:space="preserve">Social landlords are required to demonstrate compliance with mandatory and statutory safety obligations by conducting periodic safety inspections to ensure tenant safety. </w:t>
      </w:r>
      <w:r w:rsidR="00D96114" w:rsidRPr="00C53EBF">
        <w:rPr>
          <w:rFonts w:ascii="Arial" w:hAnsi="Arial" w:cs="Arial"/>
        </w:rPr>
        <w:t>While most tenants will allow access for these inspections</w:t>
      </w:r>
      <w:r w:rsidR="006D6A71">
        <w:rPr>
          <w:rFonts w:ascii="Arial" w:hAnsi="Arial" w:cs="Arial"/>
        </w:rPr>
        <w:t xml:space="preserve"> and associated works</w:t>
      </w:r>
      <w:r w:rsidR="00D96114" w:rsidRPr="00C53EBF">
        <w:rPr>
          <w:rFonts w:ascii="Arial" w:hAnsi="Arial" w:cs="Arial"/>
        </w:rPr>
        <w:t>, landlords have steps they can take if access is denied.</w:t>
      </w:r>
    </w:p>
    <w:p w14:paraId="4673C1AE" w14:textId="77777777" w:rsidR="00E249BB" w:rsidRDefault="00E249BB" w:rsidP="00313C0E">
      <w:pPr>
        <w:pStyle w:val="NormalWeb"/>
        <w:spacing w:before="75" w:beforeAutospacing="0" w:after="75" w:afterAutospacing="0" w:line="300" w:lineRule="atLeast"/>
        <w:ind w:left="720" w:right="75"/>
        <w:rPr>
          <w:rFonts w:ascii="Arial" w:hAnsi="Arial" w:cs="Arial"/>
        </w:rPr>
      </w:pPr>
    </w:p>
    <w:p w14:paraId="0E429C04" w14:textId="70E6B355" w:rsidR="00056AE1" w:rsidRPr="00D84269" w:rsidRDefault="00012F0E" w:rsidP="00D84269">
      <w:pPr>
        <w:pStyle w:val="NormalWeb"/>
        <w:numPr>
          <w:ilvl w:val="1"/>
          <w:numId w:val="33"/>
        </w:numPr>
        <w:spacing w:before="75" w:beforeAutospacing="0" w:after="75" w:afterAutospacing="0" w:line="300" w:lineRule="atLeast"/>
        <w:ind w:left="709" w:right="75" w:hanging="709"/>
        <w:rPr>
          <w:rFonts w:ascii="Arial" w:hAnsi="Arial" w:cs="Arial"/>
        </w:rPr>
      </w:pPr>
      <w:r w:rsidRPr="00C53EBF">
        <w:rPr>
          <w:rFonts w:ascii="Arial" w:hAnsi="Arial" w:cs="Arial"/>
        </w:rPr>
        <w:t xml:space="preserve">The Regulator of Social Housing mandates compliance with statutory </w:t>
      </w:r>
      <w:r w:rsidRPr="001B0770">
        <w:rPr>
          <w:rFonts w:ascii="Arial" w:hAnsi="Arial" w:cs="Arial"/>
        </w:rPr>
        <w:t xml:space="preserve">requirements such as </w:t>
      </w:r>
      <w:r w:rsidR="001B0770" w:rsidRPr="001B0770">
        <w:rPr>
          <w:rFonts w:ascii="Arial" w:hAnsi="Arial" w:cs="Arial"/>
        </w:rPr>
        <w:t>Social Housing (Regulation) Act 2023,</w:t>
      </w:r>
      <w:r w:rsidR="001B0770">
        <w:rPr>
          <w:rFonts w:ascii="Arial" w:hAnsi="Arial" w:cs="Arial"/>
          <w:color w:val="FF0000"/>
        </w:rPr>
        <w:t xml:space="preserve"> </w:t>
      </w:r>
      <w:r w:rsidRPr="00C53EBF">
        <w:rPr>
          <w:rFonts w:ascii="Arial" w:hAnsi="Arial" w:cs="Arial"/>
        </w:rPr>
        <w:t xml:space="preserve">the Landlord and Tenant Act 1983, the Housing Health and Safety Rating System from the Housing Act 2004, and the Homes (Fitness for Human Habitation) Act 2018. </w:t>
      </w:r>
    </w:p>
    <w:p w14:paraId="2D337160" w14:textId="77777777" w:rsidR="00313C0E" w:rsidRPr="00C53EBF" w:rsidRDefault="00313C0E" w:rsidP="00313C0E">
      <w:pPr>
        <w:pStyle w:val="NormalWeb"/>
        <w:spacing w:before="75" w:beforeAutospacing="0" w:after="75" w:afterAutospacing="0"/>
        <w:ind w:left="720" w:right="75"/>
        <w:rPr>
          <w:rFonts w:ascii="Arial" w:hAnsi="Arial" w:cs="Arial"/>
        </w:rPr>
      </w:pPr>
    </w:p>
    <w:p w14:paraId="1D71BB7E" w14:textId="77777777" w:rsidR="009C2857" w:rsidRDefault="009C2857" w:rsidP="00313C0E">
      <w:pPr>
        <w:jc w:val="left"/>
      </w:pPr>
      <w:r>
        <w:t>2.</w:t>
      </w:r>
      <w:r w:rsidRPr="007B2D8E">
        <w:rPr>
          <w:b/>
          <w:bCs/>
        </w:rPr>
        <w:tab/>
        <w:t>Purpose</w:t>
      </w:r>
    </w:p>
    <w:p w14:paraId="5BD177E6" w14:textId="77777777" w:rsidR="0089012E" w:rsidRDefault="0089012E" w:rsidP="0089012E">
      <w:pPr>
        <w:spacing w:after="160"/>
        <w:jc w:val="left"/>
      </w:pPr>
    </w:p>
    <w:p w14:paraId="0078B9BB" w14:textId="3069A744" w:rsidR="007B2D8E" w:rsidRDefault="0089012E" w:rsidP="0089012E">
      <w:pPr>
        <w:spacing w:after="160"/>
        <w:ind w:left="720" w:hanging="720"/>
        <w:jc w:val="left"/>
      </w:pPr>
      <w:r>
        <w:t>2.1</w:t>
      </w:r>
      <w:r>
        <w:tab/>
      </w:r>
      <w:r w:rsidR="007B2D8E" w:rsidRPr="00845771">
        <w:t>The purpose of this policy is to establish clear guidelines</w:t>
      </w:r>
      <w:r w:rsidR="00E249BB">
        <w:t xml:space="preserve">, supported by detailed </w:t>
      </w:r>
      <w:r w:rsidR="007B2D8E" w:rsidRPr="00845771">
        <w:t>procedures for gaining access to properties for safety and compliance work</w:t>
      </w:r>
      <w:r w:rsidR="008F7093">
        <w:t xml:space="preserve"> and associated inspections</w:t>
      </w:r>
      <w:r w:rsidR="007B2D8E" w:rsidRPr="00845771">
        <w:t>, ensuring the safety and wellbeing of tenants, and maintaining the integrity of housing structures.</w:t>
      </w:r>
    </w:p>
    <w:p w14:paraId="63AD5A75" w14:textId="77777777" w:rsidR="00313C0E" w:rsidRDefault="00313C0E" w:rsidP="00313C0E">
      <w:pPr>
        <w:ind w:left="720"/>
        <w:jc w:val="left"/>
      </w:pPr>
    </w:p>
    <w:p w14:paraId="0D987DD3" w14:textId="77777777" w:rsidR="009C2857" w:rsidRPr="007B2D8E" w:rsidRDefault="009C2857" w:rsidP="00313C0E">
      <w:pPr>
        <w:jc w:val="left"/>
        <w:rPr>
          <w:b/>
          <w:bCs/>
        </w:rPr>
      </w:pPr>
      <w:r w:rsidRPr="007B2D8E">
        <w:rPr>
          <w:b/>
          <w:bCs/>
        </w:rPr>
        <w:t>3.</w:t>
      </w:r>
      <w:r w:rsidRPr="007B2D8E">
        <w:rPr>
          <w:b/>
          <w:bCs/>
        </w:rPr>
        <w:tab/>
        <w:t>Scope</w:t>
      </w:r>
    </w:p>
    <w:p w14:paraId="0335908E" w14:textId="77777777" w:rsidR="0089012E" w:rsidRDefault="0089012E" w:rsidP="0089012E">
      <w:pPr>
        <w:spacing w:after="160" w:line="259" w:lineRule="auto"/>
        <w:jc w:val="left"/>
      </w:pPr>
    </w:p>
    <w:p w14:paraId="3BD5C9A3" w14:textId="3B8635A9" w:rsidR="00A5264A" w:rsidRDefault="0089012E" w:rsidP="00A5264A">
      <w:pPr>
        <w:spacing w:after="160" w:line="259" w:lineRule="auto"/>
        <w:ind w:left="720" w:hanging="720"/>
        <w:jc w:val="left"/>
      </w:pPr>
      <w:r>
        <w:t>3.1</w:t>
      </w:r>
      <w:r>
        <w:tab/>
      </w:r>
      <w:r w:rsidR="007B2D8E" w:rsidRPr="00845771">
        <w:t xml:space="preserve">This policy applies to all properties managed by St </w:t>
      </w:r>
      <w:r w:rsidR="007B2D8E" w:rsidRPr="00463EC7">
        <w:rPr>
          <w:rFonts w:cs="Arial"/>
        </w:rPr>
        <w:t xml:space="preserve">Leger Homes of Doncaster and covers all types of safety and compliance </w:t>
      </w:r>
      <w:r w:rsidR="00A5264A">
        <w:rPr>
          <w:rFonts w:cs="Arial"/>
        </w:rPr>
        <w:t xml:space="preserve">inspections, and associated </w:t>
      </w:r>
      <w:r w:rsidR="007B2D8E" w:rsidRPr="00463EC7">
        <w:rPr>
          <w:rFonts w:cs="Arial"/>
        </w:rPr>
        <w:t>work</w:t>
      </w:r>
      <w:r w:rsidR="00A5264A">
        <w:rPr>
          <w:rFonts w:cs="Arial"/>
        </w:rPr>
        <w:t>s</w:t>
      </w:r>
      <w:r w:rsidR="00506F9A">
        <w:rPr>
          <w:rFonts w:cs="Arial"/>
        </w:rPr>
        <w:t xml:space="preserve"> carried out by SLHD staff and its</w:t>
      </w:r>
      <w:r w:rsidR="004425B2">
        <w:rPr>
          <w:rFonts w:cs="Arial"/>
        </w:rPr>
        <w:t>’</w:t>
      </w:r>
      <w:r w:rsidR="00506F9A">
        <w:rPr>
          <w:rFonts w:cs="Arial"/>
        </w:rPr>
        <w:t xml:space="preserve"> </w:t>
      </w:r>
      <w:r w:rsidR="004425B2">
        <w:rPr>
          <w:rFonts w:cs="Arial"/>
        </w:rPr>
        <w:t>representatives or contractors</w:t>
      </w:r>
      <w:r w:rsidR="007B2D8E" w:rsidRPr="00463EC7">
        <w:rPr>
          <w:rFonts w:cs="Arial"/>
        </w:rPr>
        <w:t>, including gas safety checks, electrical safety inspections</w:t>
      </w:r>
      <w:r w:rsidR="007B2D8E" w:rsidRPr="00A5264A">
        <w:rPr>
          <w:rFonts w:cs="Arial"/>
        </w:rPr>
        <w:t>,</w:t>
      </w:r>
      <w:r w:rsidR="00463EC7" w:rsidRPr="00A5264A">
        <w:rPr>
          <w:rFonts w:cs="Arial"/>
        </w:rPr>
        <w:t xml:space="preserve"> </w:t>
      </w:r>
      <w:r w:rsidR="00463EC7" w:rsidRPr="00A5264A">
        <w:rPr>
          <w:rStyle w:val="cf01"/>
          <w:rFonts w:ascii="Arial" w:hAnsi="Arial" w:cs="Arial"/>
          <w:sz w:val="24"/>
          <w:szCs w:val="24"/>
        </w:rPr>
        <w:t xml:space="preserve">fire safety works, asbestos </w:t>
      </w:r>
      <w:r w:rsidR="008F7093" w:rsidRPr="00A5264A">
        <w:rPr>
          <w:rStyle w:val="cf01"/>
          <w:rFonts w:ascii="Arial" w:hAnsi="Arial" w:cs="Arial"/>
          <w:sz w:val="24"/>
          <w:szCs w:val="24"/>
        </w:rPr>
        <w:t xml:space="preserve">and condition </w:t>
      </w:r>
      <w:r w:rsidR="00463EC7" w:rsidRPr="00A5264A">
        <w:rPr>
          <w:rStyle w:val="cf01"/>
          <w:rFonts w:ascii="Arial" w:hAnsi="Arial" w:cs="Arial"/>
          <w:sz w:val="24"/>
          <w:szCs w:val="24"/>
        </w:rPr>
        <w:t xml:space="preserve">surveys </w:t>
      </w:r>
      <w:r w:rsidR="007B2D8E" w:rsidRPr="00A5264A">
        <w:rPr>
          <w:rFonts w:cs="Arial"/>
        </w:rPr>
        <w:t xml:space="preserve">and other </w:t>
      </w:r>
      <w:r w:rsidR="00463EC7" w:rsidRPr="00A5264A">
        <w:rPr>
          <w:rFonts w:cs="Arial"/>
        </w:rPr>
        <w:t>compliance-related activities including</w:t>
      </w:r>
      <w:r w:rsidR="00463EC7" w:rsidRPr="00A5264A">
        <w:t xml:space="preserve"> </w:t>
      </w:r>
      <w:r w:rsidR="008F7093" w:rsidRPr="00A5264A">
        <w:t>emergency</w:t>
      </w:r>
      <w:r w:rsidR="00463EC7" w:rsidRPr="00A5264A">
        <w:t xml:space="preserve"> </w:t>
      </w:r>
      <w:r w:rsidR="007B2D8E" w:rsidRPr="00A5264A">
        <w:t>maintenance and repairs.</w:t>
      </w:r>
      <w:r w:rsidR="00A5264A" w:rsidRPr="00A5264A">
        <w:t xml:space="preserve"> </w:t>
      </w:r>
    </w:p>
    <w:p w14:paraId="4BF82EC9" w14:textId="68DDA65C" w:rsidR="007B2D8E" w:rsidRDefault="00A5264A" w:rsidP="00A5264A">
      <w:pPr>
        <w:spacing w:after="160" w:line="259" w:lineRule="auto"/>
        <w:ind w:left="720" w:hanging="720"/>
        <w:jc w:val="left"/>
      </w:pPr>
      <w:r>
        <w:t>3.2</w:t>
      </w:r>
      <w:r>
        <w:tab/>
      </w:r>
      <w:r w:rsidRPr="00A5264A">
        <w:t xml:space="preserve">Whilst compliance matters </w:t>
      </w:r>
      <w:r w:rsidR="00056AE1">
        <w:t xml:space="preserve">in 3.1 </w:t>
      </w:r>
      <w:r w:rsidRPr="00A5264A">
        <w:t>are likely to be the main reasons, other housing management-related inspections may also require access to be authorised through legal</w:t>
      </w:r>
      <w:r>
        <w:t xml:space="preserve"> enforcement routes.</w:t>
      </w:r>
    </w:p>
    <w:p w14:paraId="1962DCA3" w14:textId="49E7F8CD" w:rsidR="007B2D8E" w:rsidRPr="00845771" w:rsidRDefault="0089012E" w:rsidP="00313C0E">
      <w:pPr>
        <w:spacing w:after="160" w:line="259" w:lineRule="auto"/>
        <w:jc w:val="left"/>
      </w:pPr>
      <w:r>
        <w:rPr>
          <w:b/>
          <w:bCs/>
        </w:rPr>
        <w:t>4</w:t>
      </w:r>
      <w:r w:rsidR="007B2D8E" w:rsidRPr="00845771">
        <w:rPr>
          <w:b/>
          <w:bCs/>
        </w:rPr>
        <w:t xml:space="preserve">. </w:t>
      </w:r>
      <w:r w:rsidR="00012F0E">
        <w:rPr>
          <w:b/>
          <w:bCs/>
        </w:rPr>
        <w:tab/>
      </w:r>
      <w:r w:rsidR="007B2D8E" w:rsidRPr="00845771">
        <w:rPr>
          <w:b/>
          <w:bCs/>
        </w:rPr>
        <w:t>Legal Framework</w:t>
      </w:r>
    </w:p>
    <w:p w14:paraId="357E5207" w14:textId="031B4AB2" w:rsidR="00C53EBF" w:rsidRDefault="0089012E" w:rsidP="00030D3A">
      <w:pPr>
        <w:spacing w:after="160" w:line="259" w:lineRule="auto"/>
        <w:ind w:left="720" w:hanging="720"/>
        <w:jc w:val="left"/>
      </w:pPr>
      <w:r>
        <w:t>4.1</w:t>
      </w:r>
      <w:r>
        <w:tab/>
      </w:r>
      <w:r w:rsidR="007B2D8E" w:rsidRPr="00845771">
        <w:t xml:space="preserve">Understanding the legal framework and tenant rights is crucial when gaining </w:t>
      </w:r>
      <w:r w:rsidR="00030D3A">
        <w:t xml:space="preserve">       </w:t>
      </w:r>
      <w:r w:rsidR="007B2D8E" w:rsidRPr="00845771">
        <w:t xml:space="preserve">access to social housing for safety checks. </w:t>
      </w:r>
      <w:r w:rsidR="00C53EBF" w:rsidRPr="00845771">
        <w:t xml:space="preserve">Landlords are legally required to </w:t>
      </w:r>
      <w:r w:rsidR="00C53EBF" w:rsidRPr="00845771">
        <w:lastRenderedPageBreak/>
        <w:t>ensure that their properties are safe for habitation</w:t>
      </w:r>
      <w:r w:rsidR="00C53EBF">
        <w:t xml:space="preserve">, this </w:t>
      </w:r>
      <w:r w:rsidR="007B2D8E" w:rsidRPr="00845771">
        <w:t xml:space="preserve">includes regular safety </w:t>
      </w:r>
      <w:r w:rsidR="008F7093">
        <w:t xml:space="preserve">and condition </w:t>
      </w:r>
      <w:r w:rsidR="007B2D8E" w:rsidRPr="00845771">
        <w:t xml:space="preserve">inspections and prompt resolution of identified issues. </w:t>
      </w:r>
    </w:p>
    <w:p w14:paraId="5B14326C" w14:textId="11873F52" w:rsidR="00E249BB" w:rsidRDefault="0089012E" w:rsidP="0089012E">
      <w:pPr>
        <w:spacing w:after="160" w:line="259" w:lineRule="auto"/>
        <w:ind w:left="720" w:hanging="720"/>
        <w:jc w:val="left"/>
      </w:pPr>
      <w:r>
        <w:t>4.2</w:t>
      </w:r>
      <w:r>
        <w:tab/>
      </w:r>
      <w:r w:rsidR="00C53EBF">
        <w:t>We will ensure our actions are proportionate to balance the safety of our tenants with the</w:t>
      </w:r>
      <w:r w:rsidR="0045612D">
        <w:t>ir</w:t>
      </w:r>
      <w:r w:rsidR="00C53EBF">
        <w:t xml:space="preserve"> right to privacy and </w:t>
      </w:r>
      <w:r w:rsidR="001B0770">
        <w:t xml:space="preserve">the </w:t>
      </w:r>
      <w:r w:rsidR="00C53EBF">
        <w:t>peaceful enjoyment of their home.</w:t>
      </w:r>
      <w:r w:rsidR="00E249BB" w:rsidRPr="00E249BB">
        <w:t xml:space="preserve"> </w:t>
      </w:r>
      <w:r w:rsidR="00695E80">
        <w:t xml:space="preserve">We will </w:t>
      </w:r>
      <w:r w:rsidR="00695E80" w:rsidRPr="0035048E">
        <w:t xml:space="preserve">make all reasonable enquiries to establish </w:t>
      </w:r>
      <w:r w:rsidR="00695E80">
        <w:t>any extenuating circumstances or vulnerabilities.</w:t>
      </w:r>
    </w:p>
    <w:p w14:paraId="1917BA73" w14:textId="00E02D62" w:rsidR="00E249BB" w:rsidRDefault="0089012E" w:rsidP="0089012E">
      <w:pPr>
        <w:spacing w:after="160" w:line="259" w:lineRule="auto"/>
        <w:ind w:left="720" w:hanging="720"/>
        <w:jc w:val="left"/>
        <w:rPr>
          <w:rFonts w:cs="Arial"/>
        </w:rPr>
      </w:pPr>
      <w:r>
        <w:t>4.3</w:t>
      </w:r>
      <w:r>
        <w:tab/>
      </w:r>
      <w:r w:rsidR="00E249BB">
        <w:t xml:space="preserve">Aside from emergency situations and in accordance with </w:t>
      </w:r>
      <w:r w:rsidR="0027008C">
        <w:t>the t</w:t>
      </w:r>
      <w:r w:rsidR="00E249BB">
        <w:t xml:space="preserve">enancy </w:t>
      </w:r>
      <w:r w:rsidR="0027008C">
        <w:t>a</w:t>
      </w:r>
      <w:r w:rsidR="00E249BB">
        <w:t xml:space="preserve">greement, St Leger Homes will always seek a </w:t>
      </w:r>
      <w:r w:rsidR="00E249BB" w:rsidRPr="00F0277D">
        <w:rPr>
          <w:rFonts w:cs="Arial"/>
        </w:rPr>
        <w:t xml:space="preserve">court order </w:t>
      </w:r>
      <w:r w:rsidR="001B0770">
        <w:rPr>
          <w:rFonts w:cs="Arial"/>
        </w:rPr>
        <w:t xml:space="preserve">or injunction </w:t>
      </w:r>
      <w:r w:rsidR="00E249BB" w:rsidRPr="00F0277D">
        <w:rPr>
          <w:rFonts w:cs="Arial"/>
        </w:rPr>
        <w:t>to authorise a forced entry</w:t>
      </w:r>
      <w:r w:rsidR="00E249BB">
        <w:rPr>
          <w:rFonts w:cs="Arial"/>
        </w:rPr>
        <w:t xml:space="preserve"> in instances where we are being prevented from carrying out our statutory responsibilities.</w:t>
      </w:r>
    </w:p>
    <w:p w14:paraId="5EC42A26" w14:textId="63DF91FA" w:rsidR="00695E80" w:rsidRPr="00845771" w:rsidRDefault="00695E80" w:rsidP="0089012E">
      <w:pPr>
        <w:spacing w:after="160" w:line="259" w:lineRule="auto"/>
        <w:ind w:left="720" w:hanging="720"/>
        <w:jc w:val="left"/>
      </w:pPr>
      <w:r>
        <w:rPr>
          <w:rFonts w:cs="Arial"/>
        </w:rPr>
        <w:tab/>
      </w:r>
      <w:r>
        <w:t>In certain circumstances, it may be appropriate to charge the tenant for the cost of the forced entry where access has been after reasonable notification.</w:t>
      </w:r>
    </w:p>
    <w:p w14:paraId="00B7141D" w14:textId="4176FDAA" w:rsidR="007B2D8E" w:rsidRPr="00845771" w:rsidRDefault="00A9191A" w:rsidP="00A9191A">
      <w:pPr>
        <w:spacing w:after="160" w:line="259" w:lineRule="auto"/>
        <w:ind w:left="720" w:hanging="720"/>
        <w:jc w:val="left"/>
      </w:pPr>
      <w:r>
        <w:t>4.4</w:t>
      </w:r>
      <w:r>
        <w:tab/>
      </w:r>
      <w:r w:rsidR="0045612D">
        <w:t xml:space="preserve">Legal guidance was </w:t>
      </w:r>
      <w:r w:rsidR="00E249BB">
        <w:t xml:space="preserve">sought from </w:t>
      </w:r>
      <w:proofErr w:type="gramStart"/>
      <w:r w:rsidR="00E249BB">
        <w:t>a number of</w:t>
      </w:r>
      <w:proofErr w:type="gramEnd"/>
      <w:r w:rsidR="00E249BB">
        <w:t xml:space="preserve"> sources and appropriate </w:t>
      </w:r>
      <w:r w:rsidR="0007271A">
        <w:t xml:space="preserve">adherence considerations regarding the </w:t>
      </w:r>
      <w:r w:rsidR="007B2D8E" w:rsidRPr="00845771">
        <w:t>justification for access</w:t>
      </w:r>
      <w:r w:rsidR="0007271A">
        <w:t xml:space="preserve"> including</w:t>
      </w:r>
      <w:r w:rsidR="007B2D8E" w:rsidRPr="00845771">
        <w:t>:</w:t>
      </w:r>
    </w:p>
    <w:p w14:paraId="0A8B558A" w14:textId="77777777" w:rsidR="007B2D8E" w:rsidRPr="00845771" w:rsidRDefault="007B2D8E" w:rsidP="00A9191A">
      <w:pPr>
        <w:numPr>
          <w:ilvl w:val="0"/>
          <w:numId w:val="24"/>
        </w:numPr>
        <w:tabs>
          <w:tab w:val="clear" w:pos="720"/>
          <w:tab w:val="num" w:pos="1418"/>
        </w:tabs>
        <w:spacing w:after="160" w:line="259" w:lineRule="auto"/>
        <w:ind w:left="1418" w:hanging="284"/>
        <w:jc w:val="left"/>
      </w:pPr>
      <w:r w:rsidRPr="00845771">
        <w:t>Housing Act 1985</w:t>
      </w:r>
    </w:p>
    <w:p w14:paraId="1E5D533A" w14:textId="77777777" w:rsidR="007B2D8E" w:rsidRDefault="007B2D8E" w:rsidP="00A9191A">
      <w:pPr>
        <w:numPr>
          <w:ilvl w:val="0"/>
          <w:numId w:val="24"/>
        </w:numPr>
        <w:tabs>
          <w:tab w:val="clear" w:pos="720"/>
          <w:tab w:val="num" w:pos="1418"/>
        </w:tabs>
        <w:spacing w:after="160" w:line="259" w:lineRule="auto"/>
        <w:ind w:left="1418" w:hanging="284"/>
        <w:jc w:val="left"/>
      </w:pPr>
      <w:r w:rsidRPr="00845771">
        <w:t>Gas Safety (Installation and Use) Regulations 1998</w:t>
      </w:r>
    </w:p>
    <w:p w14:paraId="5FACEB4B" w14:textId="78EFA1CE" w:rsidR="008F7093" w:rsidRPr="00845771" w:rsidRDefault="008F7093" w:rsidP="00A9191A">
      <w:pPr>
        <w:numPr>
          <w:ilvl w:val="0"/>
          <w:numId w:val="24"/>
        </w:numPr>
        <w:tabs>
          <w:tab w:val="clear" w:pos="720"/>
          <w:tab w:val="num" w:pos="1418"/>
        </w:tabs>
        <w:spacing w:after="160" w:line="259" w:lineRule="auto"/>
        <w:ind w:left="1418" w:hanging="284"/>
        <w:jc w:val="left"/>
      </w:pPr>
      <w:r>
        <w:t>Electricity at Work Regulations 1989</w:t>
      </w:r>
    </w:p>
    <w:p w14:paraId="2E113463" w14:textId="77777777" w:rsidR="008F7093" w:rsidRDefault="007B2D8E" w:rsidP="008F7093">
      <w:pPr>
        <w:numPr>
          <w:ilvl w:val="0"/>
          <w:numId w:val="24"/>
        </w:numPr>
        <w:tabs>
          <w:tab w:val="clear" w:pos="720"/>
          <w:tab w:val="num" w:pos="1418"/>
        </w:tabs>
        <w:spacing w:after="160" w:line="259" w:lineRule="auto"/>
        <w:ind w:left="1418" w:hanging="284"/>
        <w:jc w:val="left"/>
      </w:pPr>
      <w:r w:rsidRPr="00845771">
        <w:t>Electrical Safety Regulations</w:t>
      </w:r>
      <w:r w:rsidR="00332D3B">
        <w:t xml:space="preserve"> 2018</w:t>
      </w:r>
    </w:p>
    <w:p w14:paraId="6F6B9907" w14:textId="383758BF" w:rsidR="008F7093" w:rsidRPr="008F7093" w:rsidRDefault="008F7093" w:rsidP="008F7093">
      <w:pPr>
        <w:numPr>
          <w:ilvl w:val="0"/>
          <w:numId w:val="24"/>
        </w:numPr>
        <w:tabs>
          <w:tab w:val="clear" w:pos="720"/>
          <w:tab w:val="num" w:pos="1418"/>
        </w:tabs>
        <w:spacing w:after="160" w:line="259" w:lineRule="auto"/>
        <w:ind w:left="1418" w:hanging="284"/>
        <w:jc w:val="left"/>
      </w:pPr>
      <w:r w:rsidRPr="008F7093">
        <w:t>Regulatory Reform (Fire Safet</w:t>
      </w:r>
      <w:r>
        <w:t>y</w:t>
      </w:r>
      <w:r w:rsidRPr="008F7093">
        <w:t>) Orde</w:t>
      </w:r>
      <w:r>
        <w:t>r</w:t>
      </w:r>
      <w:r w:rsidRPr="008F7093">
        <w:t xml:space="preserve"> 2005</w:t>
      </w:r>
    </w:p>
    <w:p w14:paraId="5B2FA7DC" w14:textId="77777777" w:rsidR="007B2D8E" w:rsidRPr="00845771" w:rsidRDefault="007B2D8E" w:rsidP="00A9191A">
      <w:pPr>
        <w:numPr>
          <w:ilvl w:val="0"/>
          <w:numId w:val="24"/>
        </w:numPr>
        <w:tabs>
          <w:tab w:val="clear" w:pos="720"/>
          <w:tab w:val="num" w:pos="1418"/>
        </w:tabs>
        <w:spacing w:after="160" w:line="259" w:lineRule="auto"/>
        <w:ind w:left="1418" w:hanging="284"/>
        <w:jc w:val="left"/>
      </w:pPr>
      <w:r w:rsidRPr="00845771">
        <w:t>Landlord and Tenant Act 1985</w:t>
      </w:r>
    </w:p>
    <w:p w14:paraId="4E477EC9" w14:textId="77777777" w:rsidR="007B2D8E" w:rsidRPr="00845771" w:rsidRDefault="007B2D8E" w:rsidP="00A9191A">
      <w:pPr>
        <w:numPr>
          <w:ilvl w:val="0"/>
          <w:numId w:val="24"/>
        </w:numPr>
        <w:tabs>
          <w:tab w:val="clear" w:pos="720"/>
          <w:tab w:val="num" w:pos="1418"/>
        </w:tabs>
        <w:spacing w:after="160" w:line="259" w:lineRule="auto"/>
        <w:ind w:left="1418" w:hanging="284"/>
        <w:jc w:val="left"/>
      </w:pPr>
      <w:r w:rsidRPr="00845771">
        <w:t>Defective Premises Act 1972</w:t>
      </w:r>
    </w:p>
    <w:p w14:paraId="27D7B306" w14:textId="77777777" w:rsidR="007B2D8E" w:rsidRDefault="007B2D8E" w:rsidP="00A9191A">
      <w:pPr>
        <w:numPr>
          <w:ilvl w:val="0"/>
          <w:numId w:val="24"/>
        </w:numPr>
        <w:tabs>
          <w:tab w:val="clear" w:pos="720"/>
          <w:tab w:val="num" w:pos="1418"/>
        </w:tabs>
        <w:spacing w:after="160" w:line="259" w:lineRule="auto"/>
        <w:ind w:left="1418" w:hanging="284"/>
        <w:jc w:val="left"/>
      </w:pPr>
      <w:r w:rsidRPr="00845771">
        <w:t>Environmental Protection Act 1990</w:t>
      </w:r>
    </w:p>
    <w:p w14:paraId="14297DD7" w14:textId="77777777" w:rsidR="009C2857" w:rsidRPr="007B2D8E" w:rsidRDefault="009C2857" w:rsidP="00313C0E">
      <w:pPr>
        <w:jc w:val="left"/>
        <w:rPr>
          <w:b/>
          <w:bCs/>
        </w:rPr>
      </w:pPr>
    </w:p>
    <w:p w14:paraId="622F1BE3" w14:textId="3416EC18" w:rsidR="009C2857" w:rsidRDefault="00A9191A" w:rsidP="00313C0E">
      <w:pPr>
        <w:jc w:val="left"/>
        <w:rPr>
          <w:b/>
          <w:bCs/>
        </w:rPr>
      </w:pPr>
      <w:r>
        <w:rPr>
          <w:b/>
          <w:bCs/>
        </w:rPr>
        <w:t>5</w:t>
      </w:r>
      <w:r w:rsidR="009C2857" w:rsidRPr="007B2D8E">
        <w:rPr>
          <w:b/>
          <w:bCs/>
        </w:rPr>
        <w:t>.</w:t>
      </w:r>
      <w:r w:rsidR="009C2857" w:rsidRPr="007B2D8E">
        <w:rPr>
          <w:b/>
          <w:bCs/>
        </w:rPr>
        <w:tab/>
        <w:t>Ownership and Responsibilities</w:t>
      </w:r>
    </w:p>
    <w:p w14:paraId="3D790B8D" w14:textId="77777777" w:rsidR="00C53EBF" w:rsidRDefault="00C53EBF" w:rsidP="00313C0E">
      <w:pPr>
        <w:jc w:val="left"/>
        <w:rPr>
          <w:b/>
          <w:bCs/>
        </w:rPr>
      </w:pPr>
    </w:p>
    <w:p w14:paraId="7BABBF03" w14:textId="1F83C5D7" w:rsidR="006648A4" w:rsidRDefault="00A9191A" w:rsidP="00A9191A">
      <w:pPr>
        <w:ind w:left="720" w:hanging="720"/>
        <w:jc w:val="left"/>
      </w:pPr>
      <w:r>
        <w:t>5.1</w:t>
      </w:r>
      <w:r>
        <w:tab/>
      </w:r>
      <w:r w:rsidR="00287C26">
        <w:rPr>
          <w:rStyle w:val="normaltextrun"/>
          <w:rFonts w:cs="Arial"/>
          <w:color w:val="000000"/>
          <w:shd w:val="clear" w:color="auto" w:fill="FFFFFF"/>
        </w:rPr>
        <w:t xml:space="preserve">The ownership and responsibility of managing the implementation and relevance of this policy will remain with the Head of Housing Management.  However, the application of the policy </w:t>
      </w:r>
      <w:r w:rsidR="00613C54">
        <w:rPr>
          <w:rStyle w:val="normaltextrun"/>
          <w:rFonts w:cs="Arial"/>
          <w:color w:val="000000"/>
          <w:shd w:val="clear" w:color="auto" w:fill="FFFFFF"/>
        </w:rPr>
        <w:t xml:space="preserve">and associated procedures </w:t>
      </w:r>
      <w:r w:rsidR="00287C26">
        <w:rPr>
          <w:rStyle w:val="normaltextrun"/>
          <w:rFonts w:cs="Arial"/>
          <w:color w:val="000000"/>
          <w:shd w:val="clear" w:color="auto" w:fill="FFFFFF"/>
        </w:rPr>
        <w:t>will apply to all Service areas</w:t>
      </w:r>
      <w:r w:rsidR="00613C54">
        <w:rPr>
          <w:rStyle w:val="normaltextrun"/>
          <w:rFonts w:cs="Arial"/>
          <w:color w:val="000000"/>
          <w:shd w:val="clear" w:color="auto" w:fill="FFFFFF"/>
        </w:rPr>
        <w:t xml:space="preserve"> and teams as set out in 5.</w:t>
      </w:r>
      <w:r w:rsidR="00F15508">
        <w:rPr>
          <w:rStyle w:val="normaltextrun"/>
          <w:rFonts w:cs="Arial"/>
          <w:color w:val="000000"/>
          <w:shd w:val="clear" w:color="auto" w:fill="FFFFFF"/>
        </w:rPr>
        <w:t>4</w:t>
      </w:r>
      <w:r w:rsidR="00613C54">
        <w:rPr>
          <w:rStyle w:val="normaltextrun"/>
          <w:rFonts w:cs="Arial"/>
          <w:color w:val="000000"/>
          <w:shd w:val="clear" w:color="auto" w:fill="FFFFFF"/>
        </w:rPr>
        <w:t>.</w:t>
      </w:r>
    </w:p>
    <w:p w14:paraId="55B203F0" w14:textId="77777777" w:rsidR="006648A4" w:rsidRDefault="006648A4" w:rsidP="00A9191A">
      <w:pPr>
        <w:ind w:left="720" w:hanging="720"/>
        <w:jc w:val="left"/>
      </w:pPr>
    </w:p>
    <w:p w14:paraId="6C0965E7" w14:textId="77777777" w:rsidR="00A5264A" w:rsidRDefault="006648A4" w:rsidP="00A9191A">
      <w:pPr>
        <w:ind w:left="720" w:hanging="720"/>
        <w:jc w:val="left"/>
        <w:rPr>
          <w:rFonts w:cs="Arial"/>
        </w:rPr>
      </w:pPr>
      <w:r>
        <w:t>5.2</w:t>
      </w:r>
      <w:r>
        <w:tab/>
      </w:r>
      <w:r w:rsidR="00463EC7">
        <w:t>The Roles and Responsibilitie</w:t>
      </w:r>
      <w:r w:rsidR="00463EC7" w:rsidRPr="0093382F">
        <w:t xml:space="preserve">s for the safety of our tenants has a </w:t>
      </w:r>
      <w:r w:rsidR="00463EC7" w:rsidRPr="0093382F">
        <w:rPr>
          <w:rFonts w:cs="Arial"/>
        </w:rPr>
        <w:t>clear hierarchy from operational teams and ultimately to the Chief Executive and Board of St Leger Homes</w:t>
      </w:r>
      <w:r w:rsidR="005F2044">
        <w:rPr>
          <w:rFonts w:cs="Arial"/>
        </w:rPr>
        <w:t>.</w:t>
      </w:r>
    </w:p>
    <w:p w14:paraId="49A9C9F4" w14:textId="77777777" w:rsidR="00A5264A" w:rsidRDefault="00A5264A" w:rsidP="00A9191A">
      <w:pPr>
        <w:ind w:left="720" w:hanging="720"/>
        <w:jc w:val="left"/>
        <w:rPr>
          <w:rFonts w:cs="Arial"/>
        </w:rPr>
      </w:pPr>
    </w:p>
    <w:p w14:paraId="5138E015" w14:textId="4CAAA5DC" w:rsidR="00C53EBF" w:rsidRDefault="00A9191A" w:rsidP="00A9191A">
      <w:pPr>
        <w:ind w:left="720" w:hanging="720"/>
        <w:jc w:val="left"/>
        <w:rPr>
          <w:rStyle w:val="normaltextrun"/>
          <w:rFonts w:cs="Arial"/>
          <w:color w:val="000000"/>
          <w:shd w:val="clear" w:color="auto" w:fill="FFFFFF"/>
        </w:rPr>
      </w:pPr>
      <w:r>
        <w:t>5.2</w:t>
      </w:r>
      <w:r>
        <w:tab/>
      </w:r>
      <w:r w:rsidR="00C53EBF" w:rsidRPr="00C53EBF">
        <w:t xml:space="preserve">Procedures developed to support this Policy will ensure that teams </w:t>
      </w:r>
      <w:r w:rsidR="004D5C50">
        <w:t>understand their</w:t>
      </w:r>
      <w:r w:rsidR="00C53EBF" w:rsidRPr="00C53EBF">
        <w:t xml:space="preserve"> </w:t>
      </w:r>
      <w:r w:rsidR="00170546" w:rsidRPr="00C53EBF">
        <w:t>respons</w:t>
      </w:r>
      <w:r w:rsidR="00170546">
        <w:t>i</w:t>
      </w:r>
      <w:r w:rsidR="00170546" w:rsidRPr="00C53EBF">
        <w:t>bilities</w:t>
      </w:r>
      <w:r w:rsidR="00C53EBF">
        <w:t>; ensuring</w:t>
      </w:r>
      <w:r w:rsidR="00C53EBF" w:rsidRPr="00C53EBF">
        <w:t xml:space="preserve"> </w:t>
      </w:r>
      <w:r w:rsidR="00C53EBF" w:rsidRPr="00C53EBF">
        <w:rPr>
          <w:rStyle w:val="normaltextrun"/>
          <w:rFonts w:cs="Arial"/>
          <w:color w:val="000000"/>
          <w:shd w:val="clear" w:color="auto" w:fill="FFFFFF"/>
        </w:rPr>
        <w:t xml:space="preserve">our communication with tenants </w:t>
      </w:r>
      <w:r w:rsidR="00C53EBF">
        <w:rPr>
          <w:rStyle w:val="normaltextrun"/>
          <w:rFonts w:cs="Arial"/>
          <w:color w:val="000000"/>
          <w:shd w:val="clear" w:color="auto" w:fill="FFFFFF"/>
        </w:rPr>
        <w:t xml:space="preserve">is </w:t>
      </w:r>
      <w:r w:rsidR="00C53EBF" w:rsidRPr="00C53EBF">
        <w:rPr>
          <w:rStyle w:val="normaltextrun"/>
          <w:rFonts w:cs="Arial"/>
          <w:color w:val="000000"/>
          <w:shd w:val="clear" w:color="auto" w:fill="FFFFFF"/>
        </w:rPr>
        <w:t xml:space="preserve">clear </w:t>
      </w:r>
      <w:r w:rsidR="004D5C50">
        <w:rPr>
          <w:rStyle w:val="normaltextrun"/>
          <w:rFonts w:cs="Arial"/>
          <w:color w:val="000000"/>
          <w:shd w:val="clear" w:color="auto" w:fill="FFFFFF"/>
        </w:rPr>
        <w:t xml:space="preserve">and consistent </w:t>
      </w:r>
      <w:r w:rsidR="00C53EBF" w:rsidRPr="00C53EBF">
        <w:rPr>
          <w:rStyle w:val="normaltextrun"/>
          <w:rFonts w:cs="Arial"/>
          <w:color w:val="000000"/>
          <w:shd w:val="clear" w:color="auto" w:fill="FFFFFF"/>
        </w:rPr>
        <w:t>a</w:t>
      </w:r>
      <w:r w:rsidR="004D5C50">
        <w:rPr>
          <w:rStyle w:val="normaltextrun"/>
          <w:rFonts w:cs="Arial"/>
          <w:color w:val="000000"/>
          <w:shd w:val="clear" w:color="auto" w:fill="FFFFFF"/>
        </w:rPr>
        <w:t>s to the</w:t>
      </w:r>
      <w:r w:rsidR="00C53EBF" w:rsidRPr="00C53EBF">
        <w:rPr>
          <w:rStyle w:val="normaltextrun"/>
          <w:rFonts w:cs="Arial"/>
          <w:color w:val="000000"/>
          <w:shd w:val="clear" w:color="auto" w:fill="FFFFFF"/>
        </w:rPr>
        <w:t xml:space="preserve"> implications for not allowing access and the</w:t>
      </w:r>
      <w:r w:rsidR="00C53EBF">
        <w:rPr>
          <w:rStyle w:val="normaltextrun"/>
          <w:rFonts w:cs="Arial"/>
          <w:color w:val="000000"/>
          <w:shd w:val="clear" w:color="auto" w:fill="FFFFFF"/>
        </w:rPr>
        <w:t xml:space="preserve"> actions we will take </w:t>
      </w:r>
      <w:r w:rsidR="004D5C50">
        <w:rPr>
          <w:rStyle w:val="normaltextrun"/>
          <w:rFonts w:cs="Arial"/>
          <w:color w:val="000000"/>
          <w:shd w:val="clear" w:color="auto" w:fill="FFFFFF"/>
        </w:rPr>
        <w:t>to gain entry</w:t>
      </w:r>
      <w:r w:rsidR="00C53EBF">
        <w:rPr>
          <w:rStyle w:val="normaltextrun"/>
          <w:rFonts w:cs="Arial"/>
          <w:color w:val="000000"/>
          <w:shd w:val="clear" w:color="auto" w:fill="FFFFFF"/>
        </w:rPr>
        <w:t>.</w:t>
      </w:r>
    </w:p>
    <w:p w14:paraId="6246C300" w14:textId="01760671" w:rsidR="00463EC7" w:rsidRDefault="006648A4" w:rsidP="00313C0E">
      <w:pPr>
        <w:ind w:left="720"/>
        <w:jc w:val="left"/>
        <w:rPr>
          <w:rStyle w:val="normaltextrun"/>
          <w:rFonts w:cs="Arial"/>
          <w:color w:val="000000"/>
          <w:shd w:val="clear" w:color="auto" w:fill="FFFFFF"/>
        </w:rPr>
      </w:pPr>
      <w:r>
        <w:rPr>
          <w:rStyle w:val="normaltextrun"/>
          <w:rFonts w:cs="Arial"/>
          <w:color w:val="000000"/>
          <w:shd w:val="clear" w:color="auto" w:fill="FFFFFF"/>
        </w:rPr>
        <w:tab/>
      </w:r>
    </w:p>
    <w:p w14:paraId="126780E4" w14:textId="6B3D227B" w:rsidR="00170546" w:rsidRPr="00C53EBF" w:rsidRDefault="00F15508" w:rsidP="00267AC4">
      <w:pPr>
        <w:ind w:left="720" w:hanging="720"/>
        <w:jc w:val="left"/>
      </w:pPr>
      <w:r>
        <w:rPr>
          <w:rStyle w:val="normaltextrun"/>
          <w:rFonts w:cs="Arial"/>
          <w:color w:val="000000"/>
          <w:shd w:val="clear" w:color="auto" w:fill="FFFFFF"/>
        </w:rPr>
        <w:t>5.4</w:t>
      </w:r>
      <w:r w:rsidR="00267AC4">
        <w:rPr>
          <w:rStyle w:val="normaltextrun"/>
          <w:rFonts w:cs="Arial"/>
          <w:color w:val="000000"/>
          <w:shd w:val="clear" w:color="auto" w:fill="FFFFFF"/>
        </w:rPr>
        <w:tab/>
      </w:r>
      <w:r w:rsidR="00170546">
        <w:rPr>
          <w:rStyle w:val="normaltextrun"/>
          <w:rFonts w:cs="Arial"/>
          <w:color w:val="000000"/>
          <w:shd w:val="clear" w:color="auto" w:fill="FFFFFF"/>
        </w:rPr>
        <w:t xml:space="preserve">An overview of </w:t>
      </w:r>
      <w:r w:rsidR="0007271A">
        <w:rPr>
          <w:rStyle w:val="normaltextrun"/>
          <w:rFonts w:cs="Arial"/>
          <w:color w:val="000000"/>
          <w:shd w:val="clear" w:color="auto" w:fill="FFFFFF"/>
        </w:rPr>
        <w:t xml:space="preserve">the </w:t>
      </w:r>
      <w:r w:rsidR="00170546">
        <w:rPr>
          <w:rStyle w:val="normaltextrun"/>
          <w:rFonts w:cs="Arial"/>
          <w:color w:val="000000"/>
          <w:shd w:val="clear" w:color="auto" w:fill="FFFFFF"/>
        </w:rPr>
        <w:t>responsibilities of the teams involved</w:t>
      </w:r>
      <w:r w:rsidR="0007271A">
        <w:rPr>
          <w:rStyle w:val="normaltextrun"/>
          <w:rFonts w:cs="Arial"/>
          <w:color w:val="000000"/>
          <w:shd w:val="clear" w:color="auto" w:fill="FFFFFF"/>
        </w:rPr>
        <w:t xml:space="preserve"> </w:t>
      </w:r>
      <w:r>
        <w:rPr>
          <w:rStyle w:val="normaltextrun"/>
          <w:rFonts w:cs="Arial"/>
          <w:color w:val="000000"/>
          <w:shd w:val="clear" w:color="auto" w:fill="FFFFFF"/>
        </w:rPr>
        <w:t xml:space="preserve">for the delivery of this policy </w:t>
      </w:r>
      <w:r w:rsidR="0007271A">
        <w:rPr>
          <w:rStyle w:val="normaltextrun"/>
          <w:rFonts w:cs="Arial"/>
          <w:color w:val="000000"/>
          <w:shd w:val="clear" w:color="auto" w:fill="FFFFFF"/>
        </w:rPr>
        <w:t>includes</w:t>
      </w:r>
      <w:r w:rsidR="004C768A">
        <w:rPr>
          <w:rStyle w:val="normaltextrun"/>
          <w:rFonts w:cs="Arial"/>
          <w:color w:val="000000"/>
          <w:shd w:val="clear" w:color="auto" w:fill="FFFFFF"/>
        </w:rPr>
        <w:t>:</w:t>
      </w:r>
    </w:p>
    <w:p w14:paraId="4A645386" w14:textId="77777777" w:rsidR="00012F0E" w:rsidRDefault="00012F0E" w:rsidP="00313C0E">
      <w:pPr>
        <w:jc w:val="left"/>
        <w:rPr>
          <w:b/>
          <w:bCs/>
        </w:rPr>
      </w:pPr>
    </w:p>
    <w:p w14:paraId="6A7AF14E" w14:textId="3C02EACE" w:rsidR="00012F0E" w:rsidRPr="00845771" w:rsidRDefault="00012F0E" w:rsidP="00267AC4">
      <w:pPr>
        <w:numPr>
          <w:ilvl w:val="0"/>
          <w:numId w:val="28"/>
        </w:numPr>
        <w:tabs>
          <w:tab w:val="clear" w:pos="720"/>
          <w:tab w:val="num" w:pos="1418"/>
        </w:tabs>
        <w:spacing w:after="160" w:line="259" w:lineRule="auto"/>
        <w:ind w:left="1418" w:hanging="284"/>
        <w:jc w:val="left"/>
      </w:pPr>
      <w:r w:rsidRPr="00845771">
        <w:rPr>
          <w:b/>
          <w:bCs/>
        </w:rPr>
        <w:lastRenderedPageBreak/>
        <w:t>Property Services</w:t>
      </w:r>
      <w:r w:rsidRPr="00845771">
        <w:t>: Responsible for gas safety checks and other compliance work</w:t>
      </w:r>
      <w:r w:rsidR="00AA081B">
        <w:t xml:space="preserve"> and </w:t>
      </w:r>
      <w:r w:rsidR="00AA081B" w:rsidRPr="00AA081B">
        <w:t>essential condition inspections</w:t>
      </w:r>
      <w:r w:rsidR="00AA081B">
        <w:t xml:space="preserve"> such as </w:t>
      </w:r>
      <w:r w:rsidR="00AA081B" w:rsidRPr="00AA081B">
        <w:t>HHSRS hazard</w:t>
      </w:r>
      <w:r w:rsidR="00AA081B">
        <w:t>s</w:t>
      </w:r>
      <w:r w:rsidRPr="00845771">
        <w:t>.</w:t>
      </w:r>
    </w:p>
    <w:p w14:paraId="09883A18" w14:textId="6A2D7905" w:rsidR="00012F0E" w:rsidRPr="00845771" w:rsidRDefault="00012F0E" w:rsidP="00267AC4">
      <w:pPr>
        <w:numPr>
          <w:ilvl w:val="0"/>
          <w:numId w:val="28"/>
        </w:numPr>
        <w:tabs>
          <w:tab w:val="clear" w:pos="720"/>
          <w:tab w:val="num" w:pos="1418"/>
        </w:tabs>
        <w:spacing w:after="160" w:line="259" w:lineRule="auto"/>
        <w:ind w:left="1418" w:hanging="284"/>
        <w:jc w:val="left"/>
      </w:pPr>
      <w:r w:rsidRPr="00845771">
        <w:rPr>
          <w:b/>
          <w:bCs/>
        </w:rPr>
        <w:t>Housing Management</w:t>
      </w:r>
      <w:r w:rsidRPr="00845771">
        <w:t xml:space="preserve">: Responsible for </w:t>
      </w:r>
      <w:r w:rsidR="002B23E3">
        <w:t>tenant engagement and enforcement where required.</w:t>
      </w:r>
    </w:p>
    <w:p w14:paraId="4A296EC1" w14:textId="0EB2D32C" w:rsidR="00012F0E" w:rsidRPr="00845771" w:rsidRDefault="00012F0E" w:rsidP="00267AC4">
      <w:pPr>
        <w:numPr>
          <w:ilvl w:val="0"/>
          <w:numId w:val="28"/>
        </w:numPr>
        <w:tabs>
          <w:tab w:val="clear" w:pos="720"/>
          <w:tab w:val="num" w:pos="1418"/>
        </w:tabs>
        <w:spacing w:after="160" w:line="259" w:lineRule="auto"/>
        <w:ind w:left="1418" w:hanging="284"/>
        <w:jc w:val="left"/>
      </w:pPr>
      <w:r w:rsidRPr="00845771">
        <w:rPr>
          <w:b/>
          <w:bCs/>
        </w:rPr>
        <w:t>No Access Team</w:t>
      </w:r>
      <w:r w:rsidR="00267AC4">
        <w:rPr>
          <w:b/>
          <w:bCs/>
        </w:rPr>
        <w:t xml:space="preserve"> (new team to be developed)</w:t>
      </w:r>
      <w:r w:rsidRPr="00845771">
        <w:t>: Responsible for managing no access cases, conducting data analysis, and pursuing legal enforcement when necessary.</w:t>
      </w:r>
    </w:p>
    <w:p w14:paraId="77E6827D" w14:textId="5DB5BCF0" w:rsidR="009C2857" w:rsidRDefault="00070C02" w:rsidP="00313C0E">
      <w:pPr>
        <w:jc w:val="left"/>
        <w:rPr>
          <w:b/>
          <w:bCs/>
        </w:rPr>
      </w:pPr>
      <w:r>
        <w:rPr>
          <w:b/>
          <w:bCs/>
        </w:rPr>
        <w:t>6</w:t>
      </w:r>
      <w:r w:rsidR="009C2857" w:rsidRPr="007B2D8E">
        <w:rPr>
          <w:b/>
          <w:bCs/>
        </w:rPr>
        <w:t>.</w:t>
      </w:r>
      <w:r w:rsidR="009C2857" w:rsidRPr="007B2D8E">
        <w:rPr>
          <w:b/>
          <w:bCs/>
        </w:rPr>
        <w:tab/>
        <w:t>Policy</w:t>
      </w:r>
    </w:p>
    <w:p w14:paraId="7191C893" w14:textId="77777777" w:rsidR="00170546" w:rsidRPr="007B2D8E" w:rsidRDefault="00170546" w:rsidP="00313C0E">
      <w:pPr>
        <w:jc w:val="left"/>
        <w:rPr>
          <w:b/>
          <w:bCs/>
        </w:rPr>
      </w:pPr>
    </w:p>
    <w:p w14:paraId="74434F04" w14:textId="540368C3" w:rsidR="007B2D8E" w:rsidRPr="00845771" w:rsidRDefault="00070C02" w:rsidP="00070C02">
      <w:pPr>
        <w:spacing w:after="160" w:line="259" w:lineRule="auto"/>
        <w:ind w:left="720" w:hanging="720"/>
        <w:jc w:val="left"/>
      </w:pPr>
      <w:r>
        <w:t>6.1</w:t>
      </w:r>
      <w:r>
        <w:tab/>
      </w:r>
      <w:r w:rsidR="007B2D8E" w:rsidRPr="00845771">
        <w:t>St Leger Homes of Doncaster is committed to ensuring the safety and well-being of its tenants by conducting regular safety and compliance checks</w:t>
      </w:r>
      <w:r w:rsidR="008F7093">
        <w:t xml:space="preserve"> and condition inspections</w:t>
      </w:r>
      <w:r w:rsidR="007B2D8E" w:rsidRPr="00845771">
        <w:t>. This policy outlines the procedures for gaining access to properties, the roles and responsibilities of staff, and the legal routes available for enforcement.</w:t>
      </w:r>
    </w:p>
    <w:p w14:paraId="553B4995" w14:textId="514174E9" w:rsidR="007B2D8E" w:rsidRDefault="00070C02" w:rsidP="00313C0E">
      <w:pPr>
        <w:spacing w:after="160" w:line="259" w:lineRule="auto"/>
        <w:jc w:val="left"/>
        <w:rPr>
          <w:b/>
          <w:bCs/>
        </w:rPr>
      </w:pPr>
      <w:r>
        <w:rPr>
          <w:b/>
          <w:bCs/>
        </w:rPr>
        <w:t>7</w:t>
      </w:r>
      <w:r w:rsidR="00170546">
        <w:rPr>
          <w:b/>
          <w:bCs/>
        </w:rPr>
        <w:t>.</w:t>
      </w:r>
      <w:r w:rsidR="00170546">
        <w:rPr>
          <w:b/>
          <w:bCs/>
        </w:rPr>
        <w:tab/>
      </w:r>
      <w:r w:rsidR="007B2D8E" w:rsidRPr="00845771">
        <w:rPr>
          <w:b/>
          <w:bCs/>
        </w:rPr>
        <w:t>Procedures</w:t>
      </w:r>
    </w:p>
    <w:p w14:paraId="13E0B74D" w14:textId="4ECF2415" w:rsidR="00170546" w:rsidRPr="00845771" w:rsidRDefault="00070C02" w:rsidP="00313C0E">
      <w:pPr>
        <w:spacing w:after="160" w:line="259" w:lineRule="auto"/>
        <w:jc w:val="left"/>
      </w:pPr>
      <w:r w:rsidRPr="00070C02">
        <w:t>7.1</w:t>
      </w:r>
      <w:r>
        <w:rPr>
          <w:b/>
          <w:bCs/>
        </w:rPr>
        <w:tab/>
      </w:r>
      <w:r w:rsidR="00170546" w:rsidRPr="00170546">
        <w:t>Procedures developed to support this Policy will include</w:t>
      </w:r>
      <w:r w:rsidR="000A2968">
        <w:t xml:space="preserve"> the following</w:t>
      </w:r>
      <w:r w:rsidR="00170546" w:rsidRPr="00170546">
        <w:t>:</w:t>
      </w:r>
    </w:p>
    <w:p w14:paraId="5E82C027" w14:textId="0A64AE3D" w:rsidR="007B2D8E" w:rsidRPr="00845771" w:rsidRDefault="00070C02" w:rsidP="00313C0E">
      <w:pPr>
        <w:spacing w:after="160" w:line="259" w:lineRule="auto"/>
        <w:ind w:firstLine="720"/>
        <w:jc w:val="left"/>
        <w:rPr>
          <w:i/>
          <w:iCs/>
        </w:rPr>
      </w:pPr>
      <w:r>
        <w:rPr>
          <w:b/>
          <w:bCs/>
          <w:i/>
          <w:iCs/>
        </w:rPr>
        <w:t xml:space="preserve">       </w:t>
      </w:r>
      <w:r w:rsidR="007B2D8E" w:rsidRPr="00845771">
        <w:rPr>
          <w:b/>
          <w:bCs/>
          <w:i/>
          <w:iCs/>
        </w:rPr>
        <w:t>Communication with Tenants</w:t>
      </w:r>
    </w:p>
    <w:p w14:paraId="59128F01" w14:textId="70D75AE6" w:rsidR="007B2D8E" w:rsidRPr="00845771" w:rsidRDefault="0093382F" w:rsidP="00313C0E">
      <w:pPr>
        <w:numPr>
          <w:ilvl w:val="0"/>
          <w:numId w:val="25"/>
        </w:numPr>
        <w:tabs>
          <w:tab w:val="num" w:pos="720"/>
        </w:tabs>
        <w:spacing w:after="160" w:line="259" w:lineRule="auto"/>
        <w:jc w:val="left"/>
      </w:pPr>
      <w:r>
        <w:t>A</w:t>
      </w:r>
      <w:r w:rsidR="00B446BB">
        <w:t xml:space="preserve">part from emergency situations, </w:t>
      </w:r>
      <w:r w:rsidR="008F7093">
        <w:t xml:space="preserve">proper and </w:t>
      </w:r>
      <w:r w:rsidR="00B446BB">
        <w:t>a</w:t>
      </w:r>
      <w:r>
        <w:t>ppropriate</w:t>
      </w:r>
      <w:r w:rsidR="007B2D8E" w:rsidRPr="00845771">
        <w:t xml:space="preserve"> notice </w:t>
      </w:r>
      <w:r w:rsidR="00B446BB">
        <w:t xml:space="preserve">will be </w:t>
      </w:r>
      <w:r w:rsidR="00170546">
        <w:t xml:space="preserve">given </w:t>
      </w:r>
      <w:r w:rsidR="007B2D8E" w:rsidRPr="00845771">
        <w:t>before any inspections are carried out</w:t>
      </w:r>
      <w:r w:rsidR="00B446BB">
        <w:t xml:space="preserve"> – the </w:t>
      </w:r>
      <w:r w:rsidR="002C1C7F">
        <w:t>frequency of these will be defined by the type of inspection or works.</w:t>
      </w:r>
    </w:p>
    <w:p w14:paraId="3804F65A" w14:textId="148E79DD" w:rsidR="007B2D8E" w:rsidRDefault="007B2D8E" w:rsidP="00313C0E">
      <w:pPr>
        <w:numPr>
          <w:ilvl w:val="0"/>
          <w:numId w:val="25"/>
        </w:numPr>
        <w:tabs>
          <w:tab w:val="num" w:pos="720"/>
        </w:tabs>
        <w:spacing w:after="160" w:line="259" w:lineRule="auto"/>
        <w:jc w:val="left"/>
      </w:pPr>
      <w:r w:rsidRPr="00845771">
        <w:t>Inspections conducted at reasonable times to minimi</w:t>
      </w:r>
      <w:r w:rsidR="00D405C1">
        <w:t>s</w:t>
      </w:r>
      <w:r w:rsidRPr="00845771">
        <w:t>e disruption and consider any vulnerabilities.</w:t>
      </w:r>
    </w:p>
    <w:p w14:paraId="316B9E22" w14:textId="3AB7A6C3" w:rsidR="007B2D8E" w:rsidRPr="00845771" w:rsidRDefault="007B2D8E" w:rsidP="00070C02">
      <w:pPr>
        <w:spacing w:after="160" w:line="259" w:lineRule="auto"/>
        <w:ind w:firstLine="1276"/>
        <w:jc w:val="left"/>
        <w:rPr>
          <w:i/>
          <w:iCs/>
        </w:rPr>
      </w:pPr>
      <w:r w:rsidRPr="00845771">
        <w:rPr>
          <w:b/>
          <w:bCs/>
          <w:i/>
          <w:iCs/>
        </w:rPr>
        <w:t>Access Attempts</w:t>
      </w:r>
    </w:p>
    <w:p w14:paraId="089E441D" w14:textId="38F25E2E" w:rsidR="007B2D8E" w:rsidRPr="00845771" w:rsidRDefault="00D405C1" w:rsidP="00070C02">
      <w:pPr>
        <w:numPr>
          <w:ilvl w:val="0"/>
          <w:numId w:val="26"/>
        </w:numPr>
        <w:tabs>
          <w:tab w:val="clear" w:pos="1440"/>
          <w:tab w:val="num" w:pos="720"/>
          <w:tab w:val="num" w:pos="1418"/>
        </w:tabs>
        <w:spacing w:after="160" w:line="259" w:lineRule="auto"/>
        <w:ind w:hanging="306"/>
        <w:jc w:val="left"/>
      </w:pPr>
      <w:r>
        <w:t>M</w:t>
      </w:r>
      <w:r w:rsidR="007B2D8E" w:rsidRPr="00845771">
        <w:t>ultiple</w:t>
      </w:r>
      <w:r>
        <w:t xml:space="preserve"> and varied</w:t>
      </w:r>
      <w:r w:rsidR="007B2D8E" w:rsidRPr="00845771">
        <w:t xml:space="preserve"> attempts </w:t>
      </w:r>
      <w:r w:rsidR="000A2968">
        <w:t>must be made</w:t>
      </w:r>
      <w:r w:rsidR="002A4BA6">
        <w:t xml:space="preserve"> by</w:t>
      </w:r>
      <w:r w:rsidR="002A4BA6" w:rsidRPr="002A4BA6">
        <w:t xml:space="preserve"> </w:t>
      </w:r>
      <w:r w:rsidR="002A4BA6">
        <w:t>Property Services or their contractors</w:t>
      </w:r>
      <w:r w:rsidR="000A2968">
        <w:t xml:space="preserve"> </w:t>
      </w:r>
      <w:r w:rsidR="007B2D8E" w:rsidRPr="00845771">
        <w:t>to gain access to properties before considering legal enforcement</w:t>
      </w:r>
      <w:r w:rsidR="002D3E2A">
        <w:t>, with a</w:t>
      </w:r>
      <w:r w:rsidR="001B0770">
        <w:t>ll a</w:t>
      </w:r>
      <w:r w:rsidR="002D3E2A">
        <w:t>ttempts</w:t>
      </w:r>
      <w:r w:rsidR="00C963C2">
        <w:t xml:space="preserve"> or failed appointments</w:t>
      </w:r>
      <w:r w:rsidR="002D3E2A">
        <w:t xml:space="preserve"> recorded for evidence purposes</w:t>
      </w:r>
      <w:r w:rsidR="009F5D83">
        <w:t xml:space="preserve"> – contact will be made using a variety of methods </w:t>
      </w:r>
      <w:r w:rsidR="001B0770">
        <w:t>i.e.</w:t>
      </w:r>
      <w:r w:rsidR="009F5D83">
        <w:t xml:space="preserve"> visit</w:t>
      </w:r>
      <w:r w:rsidR="001B0770">
        <w:t>s, l</w:t>
      </w:r>
      <w:r w:rsidR="009F5D83">
        <w:t>etters, telephone, email, text etc as appropriate</w:t>
      </w:r>
      <w:r w:rsidR="007B2D8E" w:rsidRPr="00845771">
        <w:t>.</w:t>
      </w:r>
    </w:p>
    <w:p w14:paraId="3AA7C422" w14:textId="65474A5E" w:rsidR="007B2D8E" w:rsidRPr="00845771" w:rsidRDefault="009F5D83" w:rsidP="00070C02">
      <w:pPr>
        <w:numPr>
          <w:ilvl w:val="0"/>
          <w:numId w:val="26"/>
        </w:numPr>
        <w:tabs>
          <w:tab w:val="num" w:pos="720"/>
        </w:tabs>
        <w:spacing w:after="160" w:line="259" w:lineRule="auto"/>
        <w:ind w:hanging="306"/>
        <w:jc w:val="left"/>
      </w:pPr>
      <w:r>
        <w:t xml:space="preserve">Tenancy Agreements and Leases will contain </w:t>
      </w:r>
      <w:r w:rsidR="001B0770">
        <w:t>appropriate</w:t>
      </w:r>
      <w:r>
        <w:t xml:space="preserve"> </w:t>
      </w:r>
      <w:r w:rsidR="001B0770">
        <w:t>clauses</w:t>
      </w:r>
      <w:r>
        <w:t xml:space="preserve"> regarding </w:t>
      </w:r>
      <w:r w:rsidR="001B0770">
        <w:t>a</w:t>
      </w:r>
      <w:r>
        <w:t xml:space="preserve">ccess.  In </w:t>
      </w:r>
      <w:r w:rsidR="001B0770">
        <w:t>addition,</w:t>
      </w:r>
      <w:r>
        <w:t xml:space="preserve"> c</w:t>
      </w:r>
      <w:r w:rsidR="007B2D8E" w:rsidRPr="00845771">
        <w:t xml:space="preserve">lear communication will be provided to tenants regarding the implications of not allowing access and the </w:t>
      </w:r>
      <w:r w:rsidR="001B0770">
        <w:t xml:space="preserve">consequences </w:t>
      </w:r>
      <w:r w:rsidR="00D405C1">
        <w:t>including potential legal action to force entry</w:t>
      </w:r>
      <w:r w:rsidR="007B2D8E" w:rsidRPr="00845771">
        <w:t>.</w:t>
      </w:r>
      <w:r w:rsidR="002D3E2A">
        <w:t xml:space="preserve">  </w:t>
      </w:r>
    </w:p>
    <w:p w14:paraId="511C1DA6" w14:textId="0F5DFAB5" w:rsidR="007B2D8E" w:rsidRPr="00845771" w:rsidRDefault="007B2D8E" w:rsidP="00070C02">
      <w:pPr>
        <w:spacing w:after="160" w:line="259" w:lineRule="auto"/>
        <w:ind w:firstLine="1276"/>
        <w:jc w:val="left"/>
        <w:rPr>
          <w:i/>
          <w:iCs/>
        </w:rPr>
      </w:pPr>
      <w:r w:rsidRPr="00845771">
        <w:rPr>
          <w:b/>
          <w:bCs/>
          <w:i/>
          <w:iCs/>
        </w:rPr>
        <w:t>Legal Enforcement</w:t>
      </w:r>
    </w:p>
    <w:p w14:paraId="3EAA4637" w14:textId="2275D77F" w:rsidR="007B2D8E" w:rsidRDefault="000A2968" w:rsidP="0049332B">
      <w:pPr>
        <w:numPr>
          <w:ilvl w:val="0"/>
          <w:numId w:val="27"/>
        </w:numPr>
        <w:tabs>
          <w:tab w:val="clear" w:pos="1800"/>
          <w:tab w:val="num" w:pos="720"/>
          <w:tab w:val="num" w:pos="1418"/>
        </w:tabs>
        <w:spacing w:after="160" w:line="259" w:lineRule="auto"/>
        <w:ind w:left="1418" w:hanging="284"/>
        <w:jc w:val="left"/>
      </w:pPr>
      <w:r>
        <w:t>Following</w:t>
      </w:r>
      <w:r w:rsidR="007B2D8E" w:rsidRPr="00845771">
        <w:t xml:space="preserve"> </w:t>
      </w:r>
      <w:r w:rsidR="00A63D90">
        <w:t>at least 3</w:t>
      </w:r>
      <w:r w:rsidR="001B0770">
        <w:t xml:space="preserve"> </w:t>
      </w:r>
      <w:r w:rsidR="007B2D8E" w:rsidRPr="00845771">
        <w:t>attempts</w:t>
      </w:r>
      <w:r>
        <w:t xml:space="preserve"> </w:t>
      </w:r>
      <w:r w:rsidR="00A63D90">
        <w:t xml:space="preserve">by Property Services or their contractors </w:t>
      </w:r>
      <w:r>
        <w:t xml:space="preserve">to </w:t>
      </w:r>
      <w:r w:rsidR="009F5D83">
        <w:t xml:space="preserve">gain </w:t>
      </w:r>
      <w:r>
        <w:t xml:space="preserve">access, </w:t>
      </w:r>
      <w:r w:rsidR="0049332B">
        <w:t xml:space="preserve">details will be shared with </w:t>
      </w:r>
      <w:r w:rsidR="00175190">
        <w:t>Housing</w:t>
      </w:r>
      <w:r w:rsidR="0049332B">
        <w:t xml:space="preserve"> Management teams so </w:t>
      </w:r>
      <w:r>
        <w:t>l</w:t>
      </w:r>
      <w:r w:rsidR="007B2D8E" w:rsidRPr="00845771">
        <w:t xml:space="preserve">egal routes </w:t>
      </w:r>
      <w:r w:rsidR="0049332B">
        <w:t>can</w:t>
      </w:r>
      <w:r>
        <w:t xml:space="preserve"> b</w:t>
      </w:r>
      <w:r w:rsidR="007B2D8E" w:rsidRPr="00845771">
        <w:t>e pursued, including obtaining court orders or injunctions as necessary.</w:t>
      </w:r>
    </w:p>
    <w:p w14:paraId="00C47C08" w14:textId="77777777" w:rsidR="00A5264A" w:rsidRDefault="00A5264A" w:rsidP="00A5264A">
      <w:pPr>
        <w:tabs>
          <w:tab w:val="num" w:pos="1800"/>
        </w:tabs>
        <w:spacing w:after="160" w:line="259" w:lineRule="auto"/>
        <w:jc w:val="left"/>
      </w:pPr>
    </w:p>
    <w:p w14:paraId="554C782D" w14:textId="77777777" w:rsidR="00A5264A" w:rsidRPr="00845771" w:rsidRDefault="00A5264A" w:rsidP="00CD5DFB">
      <w:pPr>
        <w:tabs>
          <w:tab w:val="num" w:pos="1800"/>
        </w:tabs>
        <w:spacing w:after="160" w:line="259" w:lineRule="auto"/>
        <w:jc w:val="left"/>
      </w:pPr>
    </w:p>
    <w:p w14:paraId="15CE915F" w14:textId="163BA76D" w:rsidR="009C2857" w:rsidRDefault="0027008C" w:rsidP="00313C0E">
      <w:pPr>
        <w:jc w:val="left"/>
        <w:rPr>
          <w:b/>
          <w:bCs/>
        </w:rPr>
      </w:pPr>
      <w:r>
        <w:rPr>
          <w:b/>
          <w:bCs/>
        </w:rPr>
        <w:lastRenderedPageBreak/>
        <w:t>8.</w:t>
      </w:r>
      <w:r w:rsidR="009C2857" w:rsidRPr="00012F0E">
        <w:rPr>
          <w:b/>
          <w:bCs/>
        </w:rPr>
        <w:tab/>
        <w:t>Monitoring, Compliance and Effectiveness</w:t>
      </w:r>
    </w:p>
    <w:p w14:paraId="468FB85B" w14:textId="77777777" w:rsidR="0027008C" w:rsidRDefault="0027008C" w:rsidP="00313C0E">
      <w:pPr>
        <w:jc w:val="left"/>
        <w:rPr>
          <w:b/>
          <w:bCs/>
        </w:rPr>
      </w:pPr>
    </w:p>
    <w:p w14:paraId="75557F03" w14:textId="605D1D2C" w:rsidR="007B2D8E" w:rsidRDefault="0027008C" w:rsidP="00CD5DFB">
      <w:pPr>
        <w:spacing w:after="160" w:line="259" w:lineRule="auto"/>
        <w:ind w:left="720" w:hanging="720"/>
      </w:pPr>
      <w:r>
        <w:t>8</w:t>
      </w:r>
      <w:r w:rsidR="00A5264A">
        <w:t>.1</w:t>
      </w:r>
      <w:r w:rsidR="00A5264A">
        <w:tab/>
      </w:r>
      <w:r w:rsidR="007B2D8E" w:rsidRPr="00845771">
        <w:t>A dedicated No Access team will be established to handle all no access cases, ensuring consistency and efficiency in the process.</w:t>
      </w:r>
      <w:r w:rsidR="00CD5DFB">
        <w:t xml:space="preserve"> The team will ensure r</w:t>
      </w:r>
      <w:r w:rsidR="007B2D8E" w:rsidRPr="00845771">
        <w:t>egular data analysis to identify high-risk addresses and tenants with previous no access issues.</w:t>
      </w:r>
    </w:p>
    <w:p w14:paraId="247A0204" w14:textId="1F1A66C9" w:rsidR="00175190" w:rsidRDefault="00CD5DFB" w:rsidP="00CD5DFB">
      <w:pPr>
        <w:spacing w:after="160" w:line="259" w:lineRule="auto"/>
        <w:ind w:firstLine="360"/>
      </w:pPr>
      <w:r>
        <w:t xml:space="preserve">     </w:t>
      </w:r>
      <w:r w:rsidR="007B2D8E" w:rsidRPr="00845771">
        <w:t>Data will be used to plan work programs and target high-risk tenants.</w:t>
      </w:r>
    </w:p>
    <w:p w14:paraId="020D2424" w14:textId="427B0602" w:rsidR="00CD5DFB" w:rsidRPr="0027008C" w:rsidRDefault="0027008C" w:rsidP="0027008C">
      <w:pPr>
        <w:spacing w:after="160" w:line="259" w:lineRule="auto"/>
        <w:rPr>
          <w:b/>
          <w:bCs/>
          <w:i/>
          <w:iCs/>
        </w:rPr>
      </w:pPr>
      <w:r>
        <w:rPr>
          <w:i/>
          <w:iCs/>
        </w:rPr>
        <w:t>8.2</w:t>
      </w:r>
      <w:r w:rsidR="00CD5DFB" w:rsidRPr="0027008C">
        <w:rPr>
          <w:i/>
          <w:iCs/>
        </w:rPr>
        <w:t xml:space="preserve">    </w:t>
      </w:r>
      <w:r w:rsidR="00CD5DFB" w:rsidRPr="0027008C">
        <w:rPr>
          <w:b/>
          <w:bCs/>
          <w:i/>
          <w:iCs/>
        </w:rPr>
        <w:t>Tools and Powers</w:t>
      </w:r>
    </w:p>
    <w:p w14:paraId="7EECFBBC" w14:textId="77777777" w:rsidR="00CD5DFB" w:rsidRDefault="00CD5DFB" w:rsidP="00CD5DFB">
      <w:pPr>
        <w:pStyle w:val="ListParagraph"/>
        <w:spacing w:after="160" w:line="259" w:lineRule="auto"/>
      </w:pPr>
    </w:p>
    <w:p w14:paraId="56D3D36B" w14:textId="4C2D65A6" w:rsidR="00CD5DFB" w:rsidRPr="00CD5DFB" w:rsidRDefault="00CD5DFB" w:rsidP="00CD5DFB">
      <w:pPr>
        <w:pStyle w:val="ListParagraph"/>
        <w:spacing w:after="160" w:line="259" w:lineRule="auto"/>
        <w:rPr>
          <w:rFonts w:cs="Arial"/>
        </w:rPr>
      </w:pPr>
      <w:r w:rsidRPr="00CD5DFB">
        <w:t xml:space="preserve">In terms of the </w:t>
      </w:r>
      <w:r>
        <w:t>appropriate legal enforcement, these will be dictated by the purpose of the inspection and authority will be granted via a legal court process</w:t>
      </w:r>
      <w:r w:rsidR="00056AE1">
        <w:t xml:space="preserve"> in the following ways:</w:t>
      </w:r>
    </w:p>
    <w:p w14:paraId="5ECB18AD" w14:textId="77777777" w:rsidR="00CD5DFB" w:rsidRPr="00CD5DFB" w:rsidRDefault="00CD5DFB" w:rsidP="00CD5DFB">
      <w:pPr>
        <w:pStyle w:val="ListParagraph"/>
        <w:spacing w:after="160" w:line="259" w:lineRule="auto"/>
        <w:rPr>
          <w:rFonts w:cs="Arial"/>
        </w:rPr>
      </w:pPr>
    </w:p>
    <w:p w14:paraId="736AB4AD" w14:textId="49BA9F4A" w:rsidR="00CD5DFB" w:rsidRPr="00CD5DFB" w:rsidRDefault="00CD5DFB" w:rsidP="00CD5DFB">
      <w:pPr>
        <w:pStyle w:val="ListParagraph"/>
        <w:numPr>
          <w:ilvl w:val="0"/>
          <w:numId w:val="37"/>
        </w:numPr>
        <w:spacing w:after="160" w:line="259" w:lineRule="auto"/>
        <w:rPr>
          <w:rFonts w:cs="Arial"/>
        </w:rPr>
      </w:pPr>
      <w:r w:rsidRPr="00CD5DFB">
        <w:rPr>
          <w:rFonts w:cs="Arial"/>
        </w:rPr>
        <w:t xml:space="preserve">Gas Servicing – we will enforce no access under the Environmental Protection Act and use forced entry </w:t>
      </w:r>
      <w:r w:rsidR="009A5EA5" w:rsidRPr="00CD5DFB">
        <w:rPr>
          <w:rFonts w:cs="Arial"/>
        </w:rPr>
        <w:t>measures.</w:t>
      </w:r>
      <w:r w:rsidR="00D84269" w:rsidRPr="00D84269">
        <w:rPr>
          <w:rFonts w:cs="Arial"/>
          <w:color w:val="FF0000"/>
        </w:rPr>
        <w:t xml:space="preserve"> </w:t>
      </w:r>
    </w:p>
    <w:p w14:paraId="5FA23806" w14:textId="0A8E077C" w:rsidR="00CD5DFB" w:rsidRPr="00CD5DFB" w:rsidRDefault="00CD5DFB" w:rsidP="00CD5DFB">
      <w:pPr>
        <w:pStyle w:val="ListParagraph"/>
        <w:numPr>
          <w:ilvl w:val="0"/>
          <w:numId w:val="37"/>
        </w:numPr>
        <w:spacing w:after="160" w:line="259" w:lineRule="auto"/>
        <w:rPr>
          <w:rFonts w:cs="Arial"/>
        </w:rPr>
      </w:pPr>
      <w:r w:rsidRPr="00CD5DFB">
        <w:rPr>
          <w:rFonts w:cs="Arial"/>
        </w:rPr>
        <w:t xml:space="preserve">Electrical Installation Condition Report (EICR), Fire Safety inspections and other compliance work – we will use injunctions using the terms of the tenancy </w:t>
      </w:r>
      <w:r w:rsidR="009A5EA5" w:rsidRPr="00CD5DFB">
        <w:rPr>
          <w:rFonts w:cs="Arial"/>
        </w:rPr>
        <w:t>agreement.</w:t>
      </w:r>
      <w:r w:rsidRPr="00CD5DFB">
        <w:rPr>
          <w:rFonts w:cs="Arial"/>
        </w:rPr>
        <w:t xml:space="preserve"> </w:t>
      </w:r>
    </w:p>
    <w:p w14:paraId="6D4C1CA9" w14:textId="7EC0F0D5" w:rsidR="00CD5DFB" w:rsidRPr="00CD5DFB" w:rsidRDefault="00CD5DFB" w:rsidP="00CD5DFB">
      <w:pPr>
        <w:pStyle w:val="ListParagraph"/>
        <w:numPr>
          <w:ilvl w:val="0"/>
          <w:numId w:val="37"/>
        </w:numPr>
        <w:spacing w:after="160" w:line="259" w:lineRule="auto"/>
        <w:rPr>
          <w:rFonts w:cs="Arial"/>
        </w:rPr>
      </w:pPr>
      <w:r w:rsidRPr="00CD5DFB">
        <w:rPr>
          <w:rFonts w:cs="Arial"/>
        </w:rPr>
        <w:t xml:space="preserve">Other access requirements – we will use </w:t>
      </w:r>
      <w:r>
        <w:rPr>
          <w:rFonts w:cs="Arial"/>
        </w:rPr>
        <w:t xml:space="preserve">options such as </w:t>
      </w:r>
      <w:r w:rsidRPr="00CD5DFB">
        <w:rPr>
          <w:rFonts w:cs="Arial"/>
        </w:rPr>
        <w:t xml:space="preserve">demotion and possession of tenancy using the terms of the tenancy </w:t>
      </w:r>
      <w:r w:rsidR="009A5EA5" w:rsidRPr="00CD5DFB">
        <w:rPr>
          <w:rFonts w:cs="Arial"/>
        </w:rPr>
        <w:t>agreement.</w:t>
      </w:r>
      <w:r w:rsidRPr="00CD5DFB">
        <w:rPr>
          <w:rFonts w:cs="Arial"/>
        </w:rPr>
        <w:t xml:space="preserve"> </w:t>
      </w:r>
    </w:p>
    <w:p w14:paraId="552A6171" w14:textId="77777777" w:rsidR="009A5EA5" w:rsidRDefault="009A5EA5" w:rsidP="00B33CF1">
      <w:pPr>
        <w:pStyle w:val="ListParagraph"/>
        <w:spacing w:after="160" w:line="259" w:lineRule="auto"/>
        <w:rPr>
          <w:rFonts w:cs="Arial"/>
          <w:highlight w:val="yellow"/>
        </w:rPr>
      </w:pPr>
    </w:p>
    <w:p w14:paraId="6F5A7FB3" w14:textId="15FEEC2E" w:rsidR="00B33CF1" w:rsidRPr="009A5EA5" w:rsidRDefault="009A5EA5" w:rsidP="009A5EA5">
      <w:pPr>
        <w:spacing w:after="160" w:line="259" w:lineRule="auto"/>
        <w:rPr>
          <w:rFonts w:cs="Arial"/>
          <w:b/>
          <w:bCs/>
        </w:rPr>
      </w:pPr>
      <w:r w:rsidRPr="009A5EA5">
        <w:rPr>
          <w:rFonts w:cs="Arial"/>
        </w:rPr>
        <w:t>8.2.1</w:t>
      </w:r>
      <w:r>
        <w:rPr>
          <w:rFonts w:cs="Arial"/>
          <w:b/>
          <w:bCs/>
        </w:rPr>
        <w:tab/>
      </w:r>
      <w:r w:rsidR="00B33CF1" w:rsidRPr="009A5EA5">
        <w:rPr>
          <w:rFonts w:cs="Arial"/>
          <w:b/>
          <w:bCs/>
        </w:rPr>
        <w:t>Gas – Legal option: Warrant</w:t>
      </w:r>
    </w:p>
    <w:p w14:paraId="7DE1D76E" w14:textId="77777777" w:rsidR="00B33CF1" w:rsidRPr="009A5EA5" w:rsidRDefault="00B33CF1" w:rsidP="00B33CF1">
      <w:pPr>
        <w:pStyle w:val="ListParagraph"/>
        <w:spacing w:after="160" w:line="259" w:lineRule="auto"/>
        <w:rPr>
          <w:rFonts w:cs="Arial"/>
        </w:rPr>
      </w:pPr>
    </w:p>
    <w:p w14:paraId="5C129C42" w14:textId="77777777" w:rsidR="00B33CF1" w:rsidRPr="009A5EA5" w:rsidRDefault="00B33CF1" w:rsidP="00B33CF1">
      <w:pPr>
        <w:pStyle w:val="ListParagraph"/>
        <w:spacing w:after="160" w:line="259" w:lineRule="auto"/>
        <w:rPr>
          <w:rFonts w:cs="Arial"/>
        </w:rPr>
      </w:pPr>
      <w:r w:rsidRPr="009A5EA5">
        <w:rPr>
          <w:rFonts w:cs="Arial"/>
        </w:rPr>
        <w:t xml:space="preserve">We are legally required by the Gas Safety (Installation and Use) Regulations 1998 to ensure that any gas appliances, fittings and flues provided for tenants are safe and as such, we must have carried out an annual gas safety check within 12 months and annually thereafter. </w:t>
      </w:r>
    </w:p>
    <w:p w14:paraId="51016F36" w14:textId="77777777" w:rsidR="00B33CF1" w:rsidRPr="009A5EA5" w:rsidRDefault="00B33CF1" w:rsidP="00B33CF1">
      <w:pPr>
        <w:pStyle w:val="ListParagraph"/>
        <w:spacing w:after="160" w:line="259" w:lineRule="auto"/>
        <w:rPr>
          <w:rFonts w:cs="Arial"/>
        </w:rPr>
      </w:pPr>
    </w:p>
    <w:p w14:paraId="3F143F49" w14:textId="77777777" w:rsidR="00B33CF1" w:rsidRPr="009A5EA5" w:rsidRDefault="00B33CF1" w:rsidP="00B33CF1">
      <w:pPr>
        <w:pStyle w:val="ListParagraph"/>
        <w:spacing w:after="160" w:line="259" w:lineRule="auto"/>
        <w:rPr>
          <w:rFonts w:cs="Arial"/>
        </w:rPr>
      </w:pPr>
      <w:r w:rsidRPr="009A5EA5">
        <w:rPr>
          <w:rFonts w:cs="Arial"/>
        </w:rPr>
        <w:t>If the tenant fails to provide access to the carry out the necessary checks, this is treated as statutory nuisance under the Environmental Protection Act 1990 which makes provision for us to apply to the Magistrates’ Court for a warrant to authorise forced entry to carry out the necessary safety check.</w:t>
      </w:r>
    </w:p>
    <w:p w14:paraId="06CCB71A" w14:textId="77777777" w:rsidR="00B33CF1" w:rsidRPr="009A5EA5" w:rsidRDefault="00B33CF1" w:rsidP="00B33CF1">
      <w:pPr>
        <w:pStyle w:val="ListParagraph"/>
        <w:spacing w:after="160" w:line="259" w:lineRule="auto"/>
        <w:rPr>
          <w:rFonts w:cs="Arial"/>
        </w:rPr>
      </w:pPr>
    </w:p>
    <w:p w14:paraId="76992347" w14:textId="77777777" w:rsidR="00B33CF1" w:rsidRPr="009A5EA5" w:rsidRDefault="00B33CF1" w:rsidP="00B33CF1">
      <w:pPr>
        <w:pStyle w:val="ListParagraph"/>
        <w:spacing w:after="160" w:line="259" w:lineRule="auto"/>
        <w:rPr>
          <w:rFonts w:cs="Arial"/>
        </w:rPr>
      </w:pPr>
      <w:r w:rsidRPr="009A5EA5">
        <w:rPr>
          <w:rFonts w:cs="Arial"/>
        </w:rPr>
        <w:t>Any application to the courts must be demonstrably proportionate and evidence provided to prove the attempts made to gain access with the tenant.</w:t>
      </w:r>
    </w:p>
    <w:p w14:paraId="6BEB5BE4" w14:textId="77777777" w:rsidR="00B33CF1" w:rsidRPr="009A5EA5" w:rsidRDefault="00B33CF1" w:rsidP="00B33CF1">
      <w:pPr>
        <w:pStyle w:val="ListParagraph"/>
        <w:spacing w:after="160" w:line="259" w:lineRule="auto"/>
        <w:rPr>
          <w:rFonts w:cs="Arial"/>
        </w:rPr>
      </w:pPr>
    </w:p>
    <w:p w14:paraId="3F3138D5" w14:textId="261031BD" w:rsidR="00B33CF1" w:rsidRPr="009A5EA5" w:rsidRDefault="009A5EA5" w:rsidP="009A5EA5">
      <w:pPr>
        <w:spacing w:after="160" w:line="259" w:lineRule="auto"/>
        <w:rPr>
          <w:rFonts w:cs="Arial"/>
          <w:b/>
          <w:bCs/>
        </w:rPr>
      </w:pPr>
      <w:r w:rsidRPr="009A5EA5">
        <w:rPr>
          <w:rFonts w:cs="Arial"/>
        </w:rPr>
        <w:t>8.2.2</w:t>
      </w:r>
      <w:r w:rsidRPr="009A5EA5">
        <w:rPr>
          <w:rFonts w:cs="Arial"/>
        </w:rPr>
        <w:tab/>
      </w:r>
      <w:r w:rsidR="00B33CF1" w:rsidRPr="009A5EA5">
        <w:rPr>
          <w:rFonts w:cs="Arial"/>
          <w:b/>
          <w:bCs/>
        </w:rPr>
        <w:t>Electric</w:t>
      </w:r>
      <w:r w:rsidRPr="009A5EA5">
        <w:rPr>
          <w:rFonts w:cs="Arial"/>
          <w:b/>
          <w:bCs/>
        </w:rPr>
        <w:t>al Inspections</w:t>
      </w:r>
      <w:r w:rsidR="00B33CF1" w:rsidRPr="009A5EA5">
        <w:rPr>
          <w:rFonts w:cs="Arial"/>
          <w:b/>
          <w:bCs/>
        </w:rPr>
        <w:t xml:space="preserve"> – Legal option: Injunction</w:t>
      </w:r>
    </w:p>
    <w:p w14:paraId="5E5E18B9" w14:textId="77777777" w:rsidR="00B33CF1" w:rsidRPr="009A5EA5" w:rsidRDefault="00B33CF1" w:rsidP="00B33CF1">
      <w:pPr>
        <w:pStyle w:val="ListParagraph"/>
        <w:spacing w:after="160" w:line="259" w:lineRule="auto"/>
        <w:rPr>
          <w:rFonts w:cs="Arial"/>
        </w:rPr>
      </w:pPr>
    </w:p>
    <w:p w14:paraId="5AE746C6" w14:textId="77777777" w:rsidR="00B33CF1" w:rsidRPr="009A5EA5" w:rsidRDefault="00B33CF1" w:rsidP="00B33CF1">
      <w:pPr>
        <w:pStyle w:val="ListParagraph"/>
        <w:spacing w:after="160" w:line="259" w:lineRule="auto"/>
        <w:rPr>
          <w:rFonts w:cs="Arial"/>
        </w:rPr>
      </w:pPr>
      <w:r w:rsidRPr="009A5EA5">
        <w:rPr>
          <w:rFonts w:cs="Arial"/>
        </w:rPr>
        <w:t xml:space="preserve">These safety inspections should be carried out at least every 5 years.  </w:t>
      </w:r>
    </w:p>
    <w:p w14:paraId="75930466" w14:textId="77777777" w:rsidR="00B33CF1" w:rsidRPr="009A5EA5" w:rsidRDefault="00B33CF1" w:rsidP="00B33CF1">
      <w:pPr>
        <w:pStyle w:val="ListParagraph"/>
        <w:spacing w:after="160" w:line="259" w:lineRule="auto"/>
        <w:rPr>
          <w:rFonts w:cs="Arial"/>
        </w:rPr>
      </w:pPr>
    </w:p>
    <w:p w14:paraId="241CC188" w14:textId="77777777" w:rsidR="00B33CF1" w:rsidRPr="009A5EA5" w:rsidRDefault="00B33CF1" w:rsidP="00B33CF1">
      <w:pPr>
        <w:pStyle w:val="ListParagraph"/>
        <w:spacing w:after="160" w:line="259" w:lineRule="auto"/>
        <w:rPr>
          <w:rFonts w:cs="Arial"/>
        </w:rPr>
      </w:pPr>
      <w:r w:rsidRPr="009A5EA5">
        <w:rPr>
          <w:rFonts w:cs="Arial"/>
        </w:rPr>
        <w:t xml:space="preserve">Where a tenant fails to allow access to carry out a safety inspection, we can apply to the County Court for an injunction to gain access and carry out the inspection on the basis that the tenants are in breach of sections (2.9(j) and 2.9(m) of their tenancy agreement by not allowing access for the inspection. </w:t>
      </w:r>
    </w:p>
    <w:p w14:paraId="7E393746" w14:textId="77777777" w:rsidR="00B33CF1" w:rsidRPr="009A5EA5" w:rsidRDefault="00B33CF1" w:rsidP="00B33CF1">
      <w:pPr>
        <w:pStyle w:val="ListParagraph"/>
        <w:spacing w:after="160" w:line="259" w:lineRule="auto"/>
        <w:rPr>
          <w:rFonts w:cs="Arial"/>
        </w:rPr>
      </w:pPr>
    </w:p>
    <w:p w14:paraId="740A7376" w14:textId="77777777" w:rsidR="00B33CF1" w:rsidRPr="009A5EA5" w:rsidRDefault="00B33CF1" w:rsidP="00B33CF1">
      <w:pPr>
        <w:pStyle w:val="ListParagraph"/>
        <w:spacing w:after="160" w:line="259" w:lineRule="auto"/>
        <w:rPr>
          <w:rFonts w:cs="Arial"/>
        </w:rPr>
      </w:pPr>
      <w:r w:rsidRPr="009A5EA5">
        <w:rPr>
          <w:rFonts w:cs="Arial"/>
        </w:rPr>
        <w:lastRenderedPageBreak/>
        <w:t xml:space="preserve">The injunction contains a provision under Civil Procedure Rule 25.1(C)(ii) and (D) to allow access to the Council via a lock change if the tenant doesn’t allow access within 28 days of being served with the injunction. </w:t>
      </w:r>
    </w:p>
    <w:p w14:paraId="4FFC5999" w14:textId="77777777" w:rsidR="00B33CF1" w:rsidRPr="009A5EA5" w:rsidRDefault="00B33CF1" w:rsidP="00B33CF1">
      <w:pPr>
        <w:pStyle w:val="ListParagraph"/>
        <w:spacing w:after="160" w:line="259" w:lineRule="auto"/>
        <w:rPr>
          <w:rFonts w:cs="Arial"/>
        </w:rPr>
      </w:pPr>
    </w:p>
    <w:p w14:paraId="1F06136F" w14:textId="6D95FB62" w:rsidR="00B33CF1" w:rsidRPr="009A5EA5" w:rsidRDefault="009A5EA5" w:rsidP="009A5EA5">
      <w:pPr>
        <w:spacing w:after="160" w:line="259" w:lineRule="auto"/>
        <w:rPr>
          <w:rFonts w:cs="Arial"/>
          <w:b/>
          <w:bCs/>
        </w:rPr>
      </w:pPr>
      <w:r w:rsidRPr="009A5EA5">
        <w:rPr>
          <w:rFonts w:cs="Arial"/>
        </w:rPr>
        <w:t>8.2.3</w:t>
      </w:r>
      <w:r w:rsidRPr="009A5EA5">
        <w:rPr>
          <w:rFonts w:cs="Arial"/>
        </w:rPr>
        <w:tab/>
      </w:r>
      <w:r w:rsidR="00B33CF1" w:rsidRPr="009A5EA5">
        <w:rPr>
          <w:rFonts w:cs="Arial"/>
          <w:b/>
          <w:bCs/>
        </w:rPr>
        <w:t>Other access requirements – Legal option: Injunction</w:t>
      </w:r>
    </w:p>
    <w:p w14:paraId="47243C6D" w14:textId="77777777" w:rsidR="00B33CF1" w:rsidRPr="009A5EA5" w:rsidRDefault="00B33CF1" w:rsidP="00B33CF1">
      <w:pPr>
        <w:pStyle w:val="ListParagraph"/>
        <w:spacing w:after="160" w:line="259" w:lineRule="auto"/>
        <w:rPr>
          <w:rFonts w:cs="Arial"/>
        </w:rPr>
      </w:pPr>
    </w:p>
    <w:p w14:paraId="1BF48179" w14:textId="7DFE9A53" w:rsidR="00CD5DFB" w:rsidRPr="00CD5DFB" w:rsidRDefault="00B33CF1" w:rsidP="00B33CF1">
      <w:pPr>
        <w:pStyle w:val="ListParagraph"/>
        <w:spacing w:after="160" w:line="259" w:lineRule="auto"/>
        <w:rPr>
          <w:rFonts w:cs="Arial"/>
        </w:rPr>
      </w:pPr>
      <w:r w:rsidRPr="009A5EA5">
        <w:rPr>
          <w:rFonts w:cs="Arial"/>
        </w:rPr>
        <w:t xml:space="preserve">These instances would follow the same route as outlined </w:t>
      </w:r>
      <w:r w:rsidR="009A5EA5">
        <w:rPr>
          <w:rFonts w:cs="Arial"/>
        </w:rPr>
        <w:t>above for Electrical inspections</w:t>
      </w:r>
      <w:r w:rsidRPr="009A5EA5">
        <w:rPr>
          <w:rFonts w:cs="Arial"/>
        </w:rPr>
        <w:t xml:space="preserve"> – again, evidence of a breach of the terms of the Tenancy Agreement must be proven before the injunction would be granted.</w:t>
      </w:r>
    </w:p>
    <w:p w14:paraId="0E17BF06" w14:textId="5E337843" w:rsidR="00CD5DFB" w:rsidRPr="00CD5DFB" w:rsidRDefault="009A5EA5" w:rsidP="00CD5DFB">
      <w:pPr>
        <w:spacing w:after="160" w:line="259" w:lineRule="auto"/>
        <w:rPr>
          <w:rFonts w:cs="Arial"/>
          <w:i/>
          <w:iCs/>
        </w:rPr>
      </w:pPr>
      <w:r>
        <w:rPr>
          <w:rFonts w:cs="Arial"/>
        </w:rPr>
        <w:t>8.4</w:t>
      </w:r>
      <w:r w:rsidR="00CD5DFB">
        <w:rPr>
          <w:rFonts w:cs="Arial"/>
          <w:i/>
          <w:iCs/>
        </w:rPr>
        <w:tab/>
      </w:r>
      <w:r w:rsidR="00CD5DFB" w:rsidRPr="00CD5DFB">
        <w:rPr>
          <w:rFonts w:cs="Arial"/>
          <w:i/>
          <w:iCs/>
        </w:rPr>
        <w:t xml:space="preserve">Data and Programme delivery </w:t>
      </w:r>
    </w:p>
    <w:p w14:paraId="551650A6" w14:textId="19C5F46E" w:rsidR="00CD5DFB" w:rsidRPr="00CD5DFB" w:rsidRDefault="00CD5DFB" w:rsidP="00CD5DFB">
      <w:pPr>
        <w:spacing w:after="160" w:line="259" w:lineRule="auto"/>
        <w:ind w:left="720" w:hanging="720"/>
        <w:jc w:val="left"/>
        <w:rPr>
          <w:rFonts w:cs="Arial"/>
          <w:i/>
          <w:iCs/>
        </w:rPr>
      </w:pPr>
      <w:r>
        <w:rPr>
          <w:rFonts w:cs="Arial"/>
        </w:rPr>
        <w:tab/>
      </w:r>
      <w:r w:rsidRPr="00CD5DFB">
        <w:rPr>
          <w:rFonts w:cs="Arial"/>
        </w:rPr>
        <w:t>We will use our tenant insight data and vulnerability data along with previous no access data to deliver programmes of work.  Where necessary we will deliver MOT visits to tenants which will deliver all required compliance work in one visit</w:t>
      </w:r>
      <w:r w:rsidRPr="00CD5DFB">
        <w:rPr>
          <w:rFonts w:cs="Arial"/>
          <w:i/>
          <w:iCs/>
        </w:rPr>
        <w:t>.</w:t>
      </w:r>
    </w:p>
    <w:p w14:paraId="7844D144" w14:textId="578B3361" w:rsidR="00453DA6" w:rsidRDefault="009A5EA5" w:rsidP="00313C0E">
      <w:pPr>
        <w:jc w:val="left"/>
        <w:rPr>
          <w:b/>
          <w:bCs/>
        </w:rPr>
      </w:pPr>
      <w:r>
        <w:rPr>
          <w:b/>
          <w:bCs/>
        </w:rPr>
        <w:t>9</w:t>
      </w:r>
      <w:r w:rsidR="009C2857" w:rsidRPr="00012F0E">
        <w:rPr>
          <w:b/>
          <w:bCs/>
        </w:rPr>
        <w:t>.</w:t>
      </w:r>
      <w:r w:rsidR="009C2857" w:rsidRPr="00012F0E">
        <w:rPr>
          <w:b/>
          <w:bCs/>
        </w:rPr>
        <w:tab/>
        <w:t>Performance Standards</w:t>
      </w:r>
    </w:p>
    <w:p w14:paraId="6B4477DB" w14:textId="15B4AFC4" w:rsidR="008F7093" w:rsidRDefault="009A5EA5" w:rsidP="008F7093">
      <w:pPr>
        <w:pStyle w:val="pf0"/>
        <w:ind w:left="720" w:hanging="720"/>
        <w:rPr>
          <w:rFonts w:ascii="Arial" w:hAnsi="Arial"/>
          <w:lang w:eastAsia="en-US"/>
        </w:rPr>
      </w:pPr>
      <w:r>
        <w:rPr>
          <w:rFonts w:ascii="Arial" w:hAnsi="Arial"/>
          <w:lang w:eastAsia="en-US"/>
        </w:rPr>
        <w:t>9</w:t>
      </w:r>
      <w:r w:rsidR="008F7093">
        <w:rPr>
          <w:rFonts w:ascii="Arial" w:hAnsi="Arial"/>
          <w:lang w:eastAsia="en-US"/>
        </w:rPr>
        <w:t>.1</w:t>
      </w:r>
      <w:r w:rsidR="008F7093">
        <w:rPr>
          <w:rFonts w:ascii="Arial" w:hAnsi="Arial"/>
          <w:lang w:eastAsia="en-US"/>
        </w:rPr>
        <w:tab/>
      </w:r>
      <w:r w:rsidR="008F7093" w:rsidRPr="008F7093">
        <w:rPr>
          <w:rFonts w:ascii="Arial" w:hAnsi="Arial"/>
          <w:lang w:eastAsia="en-US"/>
        </w:rPr>
        <w:t xml:space="preserve">Performance standards for compliance in social housing are designed to ensure that housing providers deliver high-quality, safe, and secure living environments for tenants. </w:t>
      </w:r>
    </w:p>
    <w:p w14:paraId="74B4D70A" w14:textId="77777777" w:rsidR="008F7093" w:rsidRDefault="008F7093" w:rsidP="008F7093">
      <w:pPr>
        <w:pStyle w:val="pf0"/>
        <w:ind w:left="720"/>
        <w:rPr>
          <w:rFonts w:ascii="Arial" w:hAnsi="Arial"/>
          <w:lang w:eastAsia="en-US"/>
        </w:rPr>
      </w:pPr>
      <w:r w:rsidRPr="008F7093">
        <w:rPr>
          <w:rFonts w:ascii="Arial" w:hAnsi="Arial"/>
          <w:lang w:eastAsia="en-US"/>
        </w:rPr>
        <w:t xml:space="preserve">These standards typically cover a range of criteria, including the maintenance of housing quality, adherence to health and safety regulations, and the provision of essential services. </w:t>
      </w:r>
      <w:r>
        <w:rPr>
          <w:rFonts w:ascii="Arial" w:hAnsi="Arial"/>
          <w:lang w:eastAsia="en-US"/>
        </w:rPr>
        <w:tab/>
      </w:r>
      <w:r>
        <w:rPr>
          <w:rFonts w:ascii="Arial" w:hAnsi="Arial"/>
          <w:lang w:eastAsia="en-US"/>
        </w:rPr>
        <w:tab/>
      </w:r>
      <w:r>
        <w:rPr>
          <w:rFonts w:ascii="Arial" w:hAnsi="Arial"/>
          <w:lang w:eastAsia="en-US"/>
        </w:rPr>
        <w:tab/>
      </w:r>
    </w:p>
    <w:p w14:paraId="3DB17C1D" w14:textId="3C1C4B51" w:rsidR="008F7093" w:rsidRDefault="008F7093" w:rsidP="008F7093">
      <w:pPr>
        <w:pStyle w:val="pf0"/>
        <w:ind w:left="720"/>
        <w:rPr>
          <w:rFonts w:ascii="Arial" w:hAnsi="Arial"/>
          <w:lang w:eastAsia="en-US"/>
        </w:rPr>
      </w:pPr>
      <w:r w:rsidRPr="008F7093">
        <w:rPr>
          <w:rFonts w:ascii="Arial" w:hAnsi="Arial"/>
          <w:lang w:eastAsia="en-US"/>
        </w:rPr>
        <w:t>Compliance involves regular inspections, transparent reporting, and prompt resolution of any issues raised by tenants. By meeting these standards, social housing providers can ensure that their properties are well-</w:t>
      </w:r>
      <w:r w:rsidR="00CD5DFB" w:rsidRPr="008F7093">
        <w:rPr>
          <w:rFonts w:ascii="Arial" w:hAnsi="Arial"/>
          <w:lang w:eastAsia="en-US"/>
        </w:rPr>
        <w:t>managed,</w:t>
      </w:r>
      <w:r w:rsidRPr="008F7093">
        <w:rPr>
          <w:rFonts w:ascii="Arial" w:hAnsi="Arial"/>
          <w:lang w:eastAsia="en-US"/>
        </w:rPr>
        <w:t xml:space="preserve"> and that residents' needs are consistently met, fostering a sense of community and </w:t>
      </w:r>
      <w:r w:rsidR="009A5EA5" w:rsidRPr="008F7093">
        <w:rPr>
          <w:rFonts w:ascii="Arial" w:hAnsi="Arial"/>
          <w:lang w:eastAsia="en-US"/>
        </w:rPr>
        <w:t>trust.</w:t>
      </w:r>
    </w:p>
    <w:p w14:paraId="79E8D92C" w14:textId="37D8A525" w:rsidR="006D2258" w:rsidRPr="006D2258" w:rsidRDefault="009A5EA5" w:rsidP="008F7093">
      <w:pPr>
        <w:pStyle w:val="pf0"/>
        <w:rPr>
          <w:rStyle w:val="cf01"/>
          <w:rFonts w:ascii="Arial" w:hAnsi="Arial" w:cs="Arial"/>
          <w:sz w:val="24"/>
          <w:szCs w:val="24"/>
        </w:rPr>
      </w:pPr>
      <w:r>
        <w:rPr>
          <w:rStyle w:val="cf01"/>
          <w:rFonts w:ascii="Arial" w:hAnsi="Arial" w:cs="Arial"/>
          <w:sz w:val="24"/>
          <w:szCs w:val="24"/>
        </w:rPr>
        <w:t>9</w:t>
      </w:r>
      <w:r w:rsidR="004C768A">
        <w:rPr>
          <w:rStyle w:val="cf01"/>
          <w:rFonts w:ascii="Arial" w:hAnsi="Arial" w:cs="Arial"/>
          <w:sz w:val="24"/>
          <w:szCs w:val="24"/>
        </w:rPr>
        <w:t>.</w:t>
      </w:r>
      <w:r w:rsidR="008F7093">
        <w:rPr>
          <w:rStyle w:val="cf01"/>
          <w:rFonts w:ascii="Arial" w:hAnsi="Arial" w:cs="Arial"/>
          <w:sz w:val="24"/>
          <w:szCs w:val="24"/>
        </w:rPr>
        <w:t>2</w:t>
      </w:r>
      <w:r w:rsidR="004C768A">
        <w:rPr>
          <w:rStyle w:val="cf01"/>
          <w:rFonts w:ascii="Arial" w:hAnsi="Arial" w:cs="Arial"/>
          <w:sz w:val="24"/>
          <w:szCs w:val="24"/>
        </w:rPr>
        <w:tab/>
      </w:r>
      <w:r w:rsidR="006D2258" w:rsidRPr="006D2258">
        <w:rPr>
          <w:rStyle w:val="cf01"/>
          <w:rFonts w:ascii="Arial" w:hAnsi="Arial" w:cs="Arial"/>
          <w:sz w:val="24"/>
          <w:szCs w:val="24"/>
        </w:rPr>
        <w:t xml:space="preserve">We will report regularly and publish results in relation to </w:t>
      </w:r>
      <w:r w:rsidR="005711B1">
        <w:rPr>
          <w:rStyle w:val="cf01"/>
          <w:rFonts w:ascii="Arial" w:hAnsi="Arial" w:cs="Arial"/>
          <w:sz w:val="24"/>
          <w:szCs w:val="24"/>
        </w:rPr>
        <w:t xml:space="preserve">compliance on </w:t>
      </w:r>
    </w:p>
    <w:p w14:paraId="3CD80A3E" w14:textId="77777777" w:rsidR="006F5B70" w:rsidRDefault="006F5B70" w:rsidP="008F7093">
      <w:pPr>
        <w:pStyle w:val="pf0"/>
        <w:numPr>
          <w:ilvl w:val="0"/>
          <w:numId w:val="34"/>
        </w:numPr>
        <w:ind w:left="1843" w:hanging="283"/>
        <w:rPr>
          <w:rStyle w:val="cf01"/>
          <w:rFonts w:ascii="Arial" w:hAnsi="Arial" w:cs="Arial"/>
          <w:sz w:val="24"/>
          <w:szCs w:val="24"/>
        </w:rPr>
      </w:pPr>
      <w:r>
        <w:rPr>
          <w:rStyle w:val="cf01"/>
          <w:rFonts w:ascii="Arial" w:hAnsi="Arial" w:cs="Arial"/>
          <w:sz w:val="24"/>
          <w:szCs w:val="24"/>
        </w:rPr>
        <w:t xml:space="preserve">Annual </w:t>
      </w:r>
      <w:r w:rsidRPr="006F5B70">
        <w:rPr>
          <w:rStyle w:val="cf01"/>
          <w:rFonts w:ascii="Arial" w:hAnsi="Arial" w:cs="Arial"/>
          <w:sz w:val="24"/>
          <w:szCs w:val="24"/>
        </w:rPr>
        <w:t xml:space="preserve">Landlord Gas Safety Record </w:t>
      </w:r>
      <w:r w:rsidR="003A6BB9">
        <w:rPr>
          <w:rStyle w:val="cf01"/>
          <w:rFonts w:ascii="Arial" w:hAnsi="Arial" w:cs="Arial"/>
          <w:sz w:val="24"/>
          <w:szCs w:val="24"/>
        </w:rPr>
        <w:t>(</w:t>
      </w:r>
      <w:r w:rsidR="00464327" w:rsidRPr="006D2258">
        <w:rPr>
          <w:rStyle w:val="cf01"/>
          <w:rFonts w:ascii="Arial" w:hAnsi="Arial" w:cs="Arial"/>
          <w:sz w:val="24"/>
          <w:szCs w:val="24"/>
        </w:rPr>
        <w:t>LGSR</w:t>
      </w:r>
      <w:r w:rsidR="003A6BB9">
        <w:rPr>
          <w:rStyle w:val="cf01"/>
          <w:rFonts w:ascii="Arial" w:hAnsi="Arial" w:cs="Arial"/>
          <w:sz w:val="24"/>
          <w:szCs w:val="24"/>
        </w:rPr>
        <w:t>)</w:t>
      </w:r>
      <w:r w:rsidR="00464327" w:rsidRPr="006D2258">
        <w:rPr>
          <w:rStyle w:val="cf01"/>
          <w:rFonts w:ascii="Arial" w:hAnsi="Arial" w:cs="Arial"/>
          <w:sz w:val="24"/>
          <w:szCs w:val="24"/>
        </w:rPr>
        <w:t xml:space="preserve"> </w:t>
      </w:r>
    </w:p>
    <w:p w14:paraId="6B0EB446" w14:textId="77777777" w:rsidR="00275C06" w:rsidRDefault="00275C06" w:rsidP="008F7093">
      <w:pPr>
        <w:pStyle w:val="pf0"/>
        <w:numPr>
          <w:ilvl w:val="0"/>
          <w:numId w:val="34"/>
        </w:numPr>
        <w:ind w:left="1843" w:hanging="283"/>
        <w:rPr>
          <w:rStyle w:val="cf01"/>
          <w:rFonts w:ascii="Arial" w:hAnsi="Arial" w:cs="Arial"/>
          <w:sz w:val="24"/>
          <w:szCs w:val="24"/>
        </w:rPr>
      </w:pPr>
      <w:bookmarkStart w:id="0" w:name="_Hlk188469612"/>
      <w:r w:rsidRPr="00275C06">
        <w:rPr>
          <w:rStyle w:val="cf01"/>
          <w:rFonts w:ascii="Arial" w:hAnsi="Arial" w:cs="Arial"/>
          <w:sz w:val="24"/>
          <w:szCs w:val="24"/>
        </w:rPr>
        <w:t xml:space="preserve">Electrical Installation Condition Report </w:t>
      </w:r>
      <w:r w:rsidR="006F5B70">
        <w:rPr>
          <w:rStyle w:val="cf01"/>
          <w:rFonts w:ascii="Arial" w:hAnsi="Arial" w:cs="Arial"/>
          <w:sz w:val="24"/>
          <w:szCs w:val="24"/>
        </w:rPr>
        <w:t>(</w:t>
      </w:r>
      <w:r w:rsidR="00464327" w:rsidRPr="006D2258">
        <w:rPr>
          <w:rStyle w:val="cf01"/>
          <w:rFonts w:ascii="Arial" w:hAnsi="Arial" w:cs="Arial"/>
          <w:sz w:val="24"/>
          <w:szCs w:val="24"/>
        </w:rPr>
        <w:t>EICR</w:t>
      </w:r>
      <w:r w:rsidR="006F5B70">
        <w:rPr>
          <w:rStyle w:val="cf01"/>
          <w:rFonts w:ascii="Arial" w:hAnsi="Arial" w:cs="Arial"/>
          <w:sz w:val="24"/>
          <w:szCs w:val="24"/>
        </w:rPr>
        <w:t>)</w:t>
      </w:r>
      <w:r w:rsidR="00464327" w:rsidRPr="006D2258">
        <w:rPr>
          <w:rStyle w:val="cf01"/>
          <w:rFonts w:ascii="Arial" w:hAnsi="Arial" w:cs="Arial"/>
          <w:sz w:val="24"/>
          <w:szCs w:val="24"/>
        </w:rPr>
        <w:t xml:space="preserve"> </w:t>
      </w:r>
      <w:bookmarkEnd w:id="0"/>
      <w:r>
        <w:rPr>
          <w:rStyle w:val="cf01"/>
          <w:rFonts w:ascii="Arial" w:hAnsi="Arial" w:cs="Arial"/>
          <w:sz w:val="24"/>
          <w:szCs w:val="24"/>
        </w:rPr>
        <w:t xml:space="preserve">- </w:t>
      </w:r>
      <w:r w:rsidR="00464327" w:rsidRPr="006D2258">
        <w:rPr>
          <w:rStyle w:val="cf01"/>
          <w:rFonts w:ascii="Arial" w:hAnsi="Arial" w:cs="Arial"/>
          <w:sz w:val="24"/>
          <w:szCs w:val="24"/>
        </w:rPr>
        <w:t>every five years</w:t>
      </w:r>
    </w:p>
    <w:p w14:paraId="1A56B95C" w14:textId="13391F76" w:rsidR="00170546" w:rsidRPr="00E05023" w:rsidRDefault="00275C06" w:rsidP="008F7093">
      <w:pPr>
        <w:pStyle w:val="pf0"/>
        <w:numPr>
          <w:ilvl w:val="0"/>
          <w:numId w:val="34"/>
        </w:numPr>
        <w:ind w:left="1843" w:hanging="283"/>
        <w:rPr>
          <w:rStyle w:val="cf01"/>
          <w:rFonts w:ascii="Times New Roman" w:hAnsi="Times New Roman" w:cs="Times New Roman"/>
          <w:b/>
          <w:bCs/>
          <w:sz w:val="24"/>
          <w:szCs w:val="24"/>
        </w:rPr>
      </w:pPr>
      <w:r w:rsidRPr="00E05023">
        <w:rPr>
          <w:rStyle w:val="cf01"/>
          <w:rFonts w:ascii="Arial" w:hAnsi="Arial" w:cs="Arial"/>
          <w:sz w:val="24"/>
          <w:szCs w:val="24"/>
        </w:rPr>
        <w:t xml:space="preserve">Annual </w:t>
      </w:r>
      <w:r w:rsidR="00464327" w:rsidRPr="00E05023">
        <w:rPr>
          <w:rStyle w:val="cf01"/>
          <w:rFonts w:ascii="Arial" w:hAnsi="Arial" w:cs="Arial"/>
          <w:sz w:val="24"/>
          <w:szCs w:val="24"/>
        </w:rPr>
        <w:t xml:space="preserve">Smoke and </w:t>
      </w:r>
      <w:r w:rsidRPr="00E05023">
        <w:rPr>
          <w:rStyle w:val="cf01"/>
          <w:rFonts w:ascii="Arial" w:hAnsi="Arial" w:cs="Arial"/>
          <w:sz w:val="24"/>
          <w:szCs w:val="24"/>
        </w:rPr>
        <w:t>H</w:t>
      </w:r>
      <w:r w:rsidR="00464327" w:rsidRPr="00E05023">
        <w:rPr>
          <w:rStyle w:val="cf01"/>
          <w:rFonts w:ascii="Arial" w:hAnsi="Arial" w:cs="Arial"/>
          <w:sz w:val="24"/>
          <w:szCs w:val="24"/>
        </w:rPr>
        <w:t xml:space="preserve">eat </w:t>
      </w:r>
      <w:r w:rsidRPr="00E05023">
        <w:rPr>
          <w:rStyle w:val="cf01"/>
          <w:rFonts w:ascii="Arial" w:hAnsi="Arial" w:cs="Arial"/>
          <w:sz w:val="24"/>
          <w:szCs w:val="24"/>
        </w:rPr>
        <w:t>De</w:t>
      </w:r>
      <w:r w:rsidR="00464327" w:rsidRPr="00E05023">
        <w:rPr>
          <w:rStyle w:val="cf01"/>
          <w:rFonts w:ascii="Arial" w:hAnsi="Arial" w:cs="Arial"/>
          <w:sz w:val="24"/>
          <w:szCs w:val="24"/>
        </w:rPr>
        <w:t xml:space="preserve">tection </w:t>
      </w:r>
      <w:r w:rsidRPr="00E05023">
        <w:rPr>
          <w:rStyle w:val="cf01"/>
          <w:rFonts w:ascii="Arial" w:hAnsi="Arial" w:cs="Arial"/>
          <w:sz w:val="24"/>
          <w:szCs w:val="24"/>
        </w:rPr>
        <w:t>In</w:t>
      </w:r>
      <w:r w:rsidR="00464327" w:rsidRPr="00E05023">
        <w:rPr>
          <w:rStyle w:val="cf01"/>
          <w:rFonts w:ascii="Arial" w:hAnsi="Arial" w:cs="Arial"/>
          <w:sz w:val="24"/>
          <w:szCs w:val="24"/>
        </w:rPr>
        <w:t>spection</w:t>
      </w:r>
      <w:r w:rsidRPr="00E05023">
        <w:rPr>
          <w:rStyle w:val="cf01"/>
          <w:rFonts w:ascii="Arial" w:hAnsi="Arial" w:cs="Arial"/>
          <w:sz w:val="24"/>
          <w:szCs w:val="24"/>
        </w:rPr>
        <w:t>s/replacements</w:t>
      </w:r>
    </w:p>
    <w:p w14:paraId="5B6C1E26" w14:textId="24389936" w:rsidR="00E05023" w:rsidRPr="00E05023" w:rsidRDefault="00374918" w:rsidP="008F7093">
      <w:pPr>
        <w:pStyle w:val="pf0"/>
        <w:numPr>
          <w:ilvl w:val="0"/>
          <w:numId w:val="34"/>
        </w:numPr>
        <w:ind w:left="1843" w:hanging="283"/>
        <w:rPr>
          <w:b/>
          <w:bCs/>
        </w:rPr>
      </w:pPr>
      <w:r>
        <w:rPr>
          <w:rStyle w:val="cf01"/>
          <w:rFonts w:ascii="Arial" w:hAnsi="Arial" w:cs="Arial"/>
          <w:sz w:val="24"/>
          <w:szCs w:val="24"/>
        </w:rPr>
        <w:t>No</w:t>
      </w:r>
      <w:r w:rsidR="008F7093">
        <w:rPr>
          <w:rStyle w:val="cf01"/>
          <w:rFonts w:ascii="Arial" w:hAnsi="Arial" w:cs="Arial"/>
          <w:sz w:val="24"/>
          <w:szCs w:val="24"/>
        </w:rPr>
        <w:t>.</w:t>
      </w:r>
      <w:r>
        <w:rPr>
          <w:rStyle w:val="cf01"/>
          <w:rFonts w:ascii="Arial" w:hAnsi="Arial" w:cs="Arial"/>
          <w:sz w:val="24"/>
          <w:szCs w:val="24"/>
        </w:rPr>
        <w:t xml:space="preserve"> of </w:t>
      </w:r>
      <w:r w:rsidR="004C768A">
        <w:rPr>
          <w:rStyle w:val="cf01"/>
          <w:rFonts w:ascii="Arial" w:hAnsi="Arial" w:cs="Arial"/>
          <w:sz w:val="24"/>
          <w:szCs w:val="24"/>
        </w:rPr>
        <w:t>Injunctions</w:t>
      </w:r>
      <w:r w:rsidR="00E05023">
        <w:rPr>
          <w:rStyle w:val="cf01"/>
          <w:rFonts w:ascii="Arial" w:hAnsi="Arial" w:cs="Arial"/>
          <w:sz w:val="24"/>
          <w:szCs w:val="24"/>
        </w:rPr>
        <w:t xml:space="preserve"> and court orders </w:t>
      </w:r>
      <w:r>
        <w:rPr>
          <w:rStyle w:val="cf01"/>
          <w:rFonts w:ascii="Arial" w:hAnsi="Arial" w:cs="Arial"/>
          <w:sz w:val="24"/>
          <w:szCs w:val="24"/>
        </w:rPr>
        <w:t xml:space="preserve">applied for and granted to gain entry to a property for safety and </w:t>
      </w:r>
      <w:r w:rsidR="004C768A">
        <w:rPr>
          <w:rStyle w:val="cf01"/>
          <w:rFonts w:ascii="Arial" w:hAnsi="Arial" w:cs="Arial"/>
          <w:sz w:val="24"/>
          <w:szCs w:val="24"/>
        </w:rPr>
        <w:t>compliance</w:t>
      </w:r>
      <w:r>
        <w:rPr>
          <w:rStyle w:val="cf01"/>
          <w:rFonts w:ascii="Arial" w:hAnsi="Arial" w:cs="Arial"/>
          <w:sz w:val="24"/>
          <w:szCs w:val="24"/>
        </w:rPr>
        <w:t xml:space="preserve"> </w:t>
      </w:r>
      <w:r w:rsidR="009A5EA5">
        <w:rPr>
          <w:rStyle w:val="cf01"/>
          <w:rFonts w:ascii="Arial" w:hAnsi="Arial" w:cs="Arial"/>
          <w:sz w:val="24"/>
          <w:szCs w:val="24"/>
        </w:rPr>
        <w:t>works.</w:t>
      </w:r>
    </w:p>
    <w:p w14:paraId="191A4012" w14:textId="64984E36" w:rsidR="00012F0E" w:rsidRPr="00012F0E" w:rsidRDefault="009A5EA5" w:rsidP="00313C0E">
      <w:pPr>
        <w:jc w:val="left"/>
        <w:rPr>
          <w:b/>
          <w:bCs/>
        </w:rPr>
      </w:pPr>
      <w:r>
        <w:rPr>
          <w:b/>
          <w:bCs/>
        </w:rPr>
        <w:t>10</w:t>
      </w:r>
      <w:r w:rsidR="00012F0E">
        <w:rPr>
          <w:b/>
          <w:bCs/>
        </w:rPr>
        <w:t>.</w:t>
      </w:r>
      <w:r w:rsidR="00012F0E">
        <w:rPr>
          <w:b/>
          <w:bCs/>
        </w:rPr>
        <w:tab/>
        <w:t>Review of Policy</w:t>
      </w:r>
    </w:p>
    <w:p w14:paraId="0D4EF145" w14:textId="77777777" w:rsidR="007B2D8E" w:rsidRDefault="007B2D8E" w:rsidP="00313C0E">
      <w:pPr>
        <w:jc w:val="left"/>
      </w:pPr>
    </w:p>
    <w:p w14:paraId="4C9C2180" w14:textId="262CD0FB" w:rsidR="007B2D8E" w:rsidRDefault="009A5EA5" w:rsidP="004C768A">
      <w:pPr>
        <w:spacing w:after="160" w:line="259" w:lineRule="auto"/>
        <w:ind w:left="720" w:hanging="720"/>
        <w:jc w:val="left"/>
      </w:pPr>
      <w:r>
        <w:t>10</w:t>
      </w:r>
      <w:r w:rsidR="004C768A">
        <w:t xml:space="preserve">.1 </w:t>
      </w:r>
      <w:r w:rsidR="004C768A">
        <w:tab/>
      </w:r>
      <w:r w:rsidR="007B2D8E" w:rsidRPr="00845771">
        <w:t xml:space="preserve">This policy will be reviewed </w:t>
      </w:r>
      <w:r w:rsidR="00AA785A">
        <w:t>regularly</w:t>
      </w:r>
      <w:r w:rsidR="007B2D8E" w:rsidRPr="00845771">
        <w:t xml:space="preserve"> to ensure its effectiveness and compliance with legal requirements. Regular reports will be provided to the Executive Management Team (EMT) on no access cases and enforcement actions taken.</w:t>
      </w:r>
    </w:p>
    <w:p w14:paraId="6EE67B24" w14:textId="476F627B" w:rsidR="0045612D" w:rsidRPr="0045612D" w:rsidRDefault="009A5EA5" w:rsidP="00313C0E">
      <w:pPr>
        <w:spacing w:after="160" w:line="259" w:lineRule="auto"/>
        <w:jc w:val="left"/>
        <w:rPr>
          <w:b/>
          <w:bCs/>
        </w:rPr>
      </w:pPr>
      <w:r>
        <w:rPr>
          <w:b/>
          <w:bCs/>
        </w:rPr>
        <w:t>11</w:t>
      </w:r>
      <w:r w:rsidR="0045612D" w:rsidRPr="0045612D">
        <w:rPr>
          <w:b/>
          <w:bCs/>
        </w:rPr>
        <w:t xml:space="preserve">. </w:t>
      </w:r>
      <w:r w:rsidR="0045612D" w:rsidRPr="0045612D">
        <w:rPr>
          <w:b/>
          <w:bCs/>
        </w:rPr>
        <w:tab/>
        <w:t xml:space="preserve">Background </w:t>
      </w:r>
      <w:r w:rsidR="00E249BB">
        <w:rPr>
          <w:b/>
          <w:bCs/>
        </w:rPr>
        <w:t>Document</w:t>
      </w:r>
      <w:r w:rsidR="00E46346">
        <w:rPr>
          <w:b/>
          <w:bCs/>
        </w:rPr>
        <w:t>/</w:t>
      </w:r>
      <w:r w:rsidR="0045612D" w:rsidRPr="0045612D">
        <w:rPr>
          <w:b/>
          <w:bCs/>
        </w:rPr>
        <w:t>Research:</w:t>
      </w:r>
    </w:p>
    <w:p w14:paraId="4ADFDDE5" w14:textId="4D40A03B" w:rsidR="0045612D" w:rsidRPr="0045612D" w:rsidRDefault="0045612D" w:rsidP="00313C0E">
      <w:pPr>
        <w:pStyle w:val="ListParagraph"/>
        <w:numPr>
          <w:ilvl w:val="0"/>
          <w:numId w:val="32"/>
        </w:numPr>
        <w:spacing w:after="160" w:line="259" w:lineRule="auto"/>
        <w:jc w:val="left"/>
        <w:rPr>
          <w:i/>
          <w:iCs/>
        </w:rPr>
      </w:pPr>
      <w:r w:rsidRPr="0045612D">
        <w:rPr>
          <w:i/>
          <w:iCs/>
        </w:rPr>
        <w:lastRenderedPageBreak/>
        <w:t>Electric Safety Roundtable (ESR): Code of Practice for the Management of Electrotechnical Care in Social Housing</w:t>
      </w:r>
    </w:p>
    <w:p w14:paraId="43C47852" w14:textId="77AE1DE3" w:rsidR="0045612D" w:rsidRDefault="0045612D" w:rsidP="00313C0E">
      <w:pPr>
        <w:pStyle w:val="ListParagraph"/>
        <w:numPr>
          <w:ilvl w:val="0"/>
          <w:numId w:val="32"/>
        </w:numPr>
        <w:spacing w:after="160" w:line="259" w:lineRule="auto"/>
        <w:jc w:val="left"/>
        <w:rPr>
          <w:i/>
          <w:iCs/>
        </w:rPr>
      </w:pPr>
      <w:r w:rsidRPr="0045612D">
        <w:rPr>
          <w:i/>
          <w:iCs/>
        </w:rPr>
        <w:t xml:space="preserve">Association of Safety compliance Professionals (ASCP) in </w:t>
      </w:r>
      <w:r w:rsidR="001B0770" w:rsidRPr="0045612D">
        <w:rPr>
          <w:i/>
          <w:iCs/>
        </w:rPr>
        <w:t>Housing</w:t>
      </w:r>
      <w:r w:rsidRPr="0045612D">
        <w:rPr>
          <w:i/>
          <w:iCs/>
        </w:rPr>
        <w:t xml:space="preserve"> &amp; Communities publication of ‘Gaining Access for Safety Checks in Social Housing: The Legal Position on Guaranteed Access’</w:t>
      </w:r>
    </w:p>
    <w:p w14:paraId="003F6D5F" w14:textId="7FCCB5BB" w:rsidR="00E46346" w:rsidRPr="0045612D" w:rsidRDefault="00E46346" w:rsidP="00313C0E">
      <w:pPr>
        <w:pStyle w:val="ListParagraph"/>
        <w:numPr>
          <w:ilvl w:val="0"/>
          <w:numId w:val="32"/>
        </w:numPr>
        <w:spacing w:after="160" w:line="259" w:lineRule="auto"/>
        <w:jc w:val="left"/>
        <w:rPr>
          <w:i/>
          <w:iCs/>
        </w:rPr>
      </w:pPr>
      <w:r>
        <w:rPr>
          <w:i/>
          <w:iCs/>
        </w:rPr>
        <w:t>St Leger Homes’ Tenancy Agreement</w:t>
      </w:r>
    </w:p>
    <w:p w14:paraId="2EBE10ED" w14:textId="77777777" w:rsidR="007B2D8E" w:rsidRDefault="007B2D8E" w:rsidP="00313C0E">
      <w:pPr>
        <w:jc w:val="left"/>
      </w:pPr>
    </w:p>
    <w:p w14:paraId="031D0DF3" w14:textId="77777777" w:rsidR="00453DA6" w:rsidRDefault="00453DA6" w:rsidP="00313C0E">
      <w:pPr>
        <w:jc w:val="left"/>
      </w:pPr>
    </w:p>
    <w:sectPr w:rsidR="00453DA6" w:rsidSect="00B001B8">
      <w:headerReference w:type="default" r:id="rId13"/>
      <w:footerReference w:type="default" r:id="rId14"/>
      <w:pgSz w:w="11906" w:h="16838"/>
      <w:pgMar w:top="1152" w:right="1440" w:bottom="1152" w:left="1440" w:header="706" w:footer="28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B3D4" w14:textId="77777777" w:rsidR="00185D67" w:rsidRDefault="00185D67">
      <w:r>
        <w:separator/>
      </w:r>
    </w:p>
  </w:endnote>
  <w:endnote w:type="continuationSeparator" w:id="0">
    <w:p w14:paraId="595A4DA6" w14:textId="77777777" w:rsidR="00185D67" w:rsidRDefault="00185D67">
      <w:r>
        <w:continuationSeparator/>
      </w:r>
    </w:p>
  </w:endnote>
  <w:endnote w:type="continuationNotice" w:id="1">
    <w:p w14:paraId="5B163697" w14:textId="77777777" w:rsidR="00185D67" w:rsidRDefault="00185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462"/>
      <w:gridCol w:w="2228"/>
      <w:gridCol w:w="2266"/>
    </w:tblGrid>
    <w:tr w:rsidR="008641E4" w14:paraId="5A2022E8" w14:textId="77777777" w:rsidTr="00BC49F9">
      <w:trPr>
        <w:trHeight w:val="290"/>
      </w:trPr>
      <w:tc>
        <w:tcPr>
          <w:tcW w:w="2113" w:type="dxa"/>
        </w:tcPr>
        <w:p w14:paraId="48F905AF" w14:textId="77777777" w:rsidR="008641E4" w:rsidRDefault="008641E4" w:rsidP="00A50FF5">
          <w:pPr>
            <w:rPr>
              <w:rFonts w:cs="Arial"/>
            </w:rPr>
          </w:pPr>
          <w:r>
            <w:rPr>
              <w:rFonts w:cs="Arial"/>
            </w:rPr>
            <w:t>Page</w:t>
          </w:r>
        </w:p>
      </w:tc>
      <w:tc>
        <w:tcPr>
          <w:tcW w:w="2520" w:type="dxa"/>
        </w:tcPr>
        <w:p w14:paraId="145BEAC9" w14:textId="77777777" w:rsidR="008641E4" w:rsidRDefault="008641E4" w:rsidP="00A50FF5">
          <w:pPr>
            <w:rPr>
              <w:rFonts w:cs="Arial"/>
            </w:rPr>
          </w:pPr>
          <w:r>
            <w:rPr>
              <w:rFonts w:cs="Arial"/>
            </w:rPr>
            <w:t>Version</w:t>
          </w:r>
        </w:p>
      </w:tc>
      <w:tc>
        <w:tcPr>
          <w:tcW w:w="2288" w:type="dxa"/>
        </w:tcPr>
        <w:p w14:paraId="254ADD30" w14:textId="77777777" w:rsidR="008641E4" w:rsidRDefault="008641E4" w:rsidP="00A50FF5">
          <w:pPr>
            <w:rPr>
              <w:rFonts w:cs="Arial"/>
            </w:rPr>
          </w:pPr>
          <w:r>
            <w:rPr>
              <w:rFonts w:cs="Arial"/>
            </w:rPr>
            <w:t>Date</w:t>
          </w:r>
        </w:p>
      </w:tc>
      <w:tc>
        <w:tcPr>
          <w:tcW w:w="2321" w:type="dxa"/>
        </w:tcPr>
        <w:p w14:paraId="44144ECF" w14:textId="77777777" w:rsidR="008641E4" w:rsidRDefault="008641E4" w:rsidP="00A50FF5">
          <w:pPr>
            <w:rPr>
              <w:rFonts w:cs="Arial"/>
            </w:rPr>
          </w:pPr>
          <w:r>
            <w:rPr>
              <w:rFonts w:cs="Arial"/>
            </w:rPr>
            <w:t>Author</w:t>
          </w:r>
        </w:p>
      </w:tc>
    </w:tr>
    <w:tr w:rsidR="008641E4" w14:paraId="1A4127E8" w14:textId="77777777" w:rsidTr="00BC49F9">
      <w:trPr>
        <w:trHeight w:val="290"/>
      </w:trPr>
      <w:tc>
        <w:tcPr>
          <w:tcW w:w="2113" w:type="dxa"/>
        </w:tcPr>
        <w:p w14:paraId="1DE7F19B" w14:textId="39F889D5" w:rsidR="008641E4" w:rsidRDefault="008641E4" w:rsidP="00A50FF5">
          <w:pPr>
            <w:rPr>
              <w:rFonts w:cs="Arial"/>
            </w:rPr>
          </w:pPr>
          <w:r>
            <w:rPr>
              <w:rStyle w:val="PageNumber"/>
              <w:rFonts w:cs="Arial"/>
              <w:lang w:val="en-US" w:eastAsia="en-GB"/>
            </w:rPr>
            <w:t xml:space="preserve">Page </w:t>
          </w:r>
          <w:r>
            <w:rPr>
              <w:rStyle w:val="PageNumber"/>
              <w:rFonts w:cs="Arial"/>
              <w:lang w:val="en-US" w:eastAsia="en-GB"/>
            </w:rPr>
            <w:fldChar w:fldCharType="begin"/>
          </w:r>
          <w:r>
            <w:rPr>
              <w:rStyle w:val="PageNumber"/>
              <w:rFonts w:cs="Arial"/>
              <w:lang w:val="en-US" w:eastAsia="en-GB"/>
            </w:rPr>
            <w:instrText xml:space="preserve"> PAGE </w:instrText>
          </w:r>
          <w:r>
            <w:rPr>
              <w:rStyle w:val="PageNumber"/>
              <w:rFonts w:cs="Arial"/>
              <w:lang w:val="en-US" w:eastAsia="en-GB"/>
            </w:rPr>
            <w:fldChar w:fldCharType="separate"/>
          </w:r>
          <w:r w:rsidR="007B68C5">
            <w:rPr>
              <w:rStyle w:val="PageNumber"/>
              <w:rFonts w:cs="Arial"/>
              <w:noProof/>
              <w:lang w:val="en-US" w:eastAsia="en-GB"/>
            </w:rPr>
            <w:t>18</w:t>
          </w:r>
          <w:r>
            <w:rPr>
              <w:rStyle w:val="PageNumber"/>
              <w:rFonts w:cs="Arial"/>
              <w:lang w:val="en-US" w:eastAsia="en-GB"/>
            </w:rPr>
            <w:fldChar w:fldCharType="end"/>
          </w:r>
          <w:r>
            <w:rPr>
              <w:rStyle w:val="PageNumber"/>
              <w:rFonts w:cs="Arial"/>
              <w:lang w:val="en-US" w:eastAsia="en-GB"/>
            </w:rPr>
            <w:t xml:space="preserve"> of </w:t>
          </w:r>
          <w:r w:rsidR="00D84269">
            <w:rPr>
              <w:rStyle w:val="PageNumber"/>
              <w:rFonts w:cs="Arial"/>
              <w:lang w:val="en-US" w:eastAsia="en-GB"/>
            </w:rPr>
            <w:t>8</w:t>
          </w:r>
        </w:p>
      </w:tc>
      <w:tc>
        <w:tcPr>
          <w:tcW w:w="2520" w:type="dxa"/>
        </w:tcPr>
        <w:p w14:paraId="662C7A2F" w14:textId="7F28A31A" w:rsidR="008641E4" w:rsidRDefault="0007271A" w:rsidP="00A50FF5">
          <w:pPr>
            <w:rPr>
              <w:rFonts w:cs="Arial"/>
            </w:rPr>
          </w:pPr>
          <w:r>
            <w:rPr>
              <w:rFonts w:cs="Arial"/>
            </w:rPr>
            <w:t>1</w:t>
          </w:r>
        </w:p>
      </w:tc>
      <w:tc>
        <w:tcPr>
          <w:tcW w:w="2288" w:type="dxa"/>
        </w:tcPr>
        <w:p w14:paraId="535843BA" w14:textId="17B1F88F" w:rsidR="008641E4" w:rsidRDefault="00056AE1" w:rsidP="00A50FF5">
          <w:pPr>
            <w:rPr>
              <w:rFonts w:cs="Arial"/>
            </w:rPr>
          </w:pPr>
          <w:r>
            <w:rPr>
              <w:rFonts w:cs="Arial"/>
            </w:rPr>
            <w:t>April</w:t>
          </w:r>
          <w:r w:rsidR="0007271A">
            <w:rPr>
              <w:rFonts w:cs="Arial"/>
            </w:rPr>
            <w:t xml:space="preserve"> 2025</w:t>
          </w:r>
        </w:p>
      </w:tc>
      <w:tc>
        <w:tcPr>
          <w:tcW w:w="2321" w:type="dxa"/>
        </w:tcPr>
        <w:p w14:paraId="7C2B0A90" w14:textId="45910702" w:rsidR="008641E4" w:rsidRDefault="0007271A" w:rsidP="00A50FF5">
          <w:pPr>
            <w:rPr>
              <w:rFonts w:cs="Arial"/>
            </w:rPr>
          </w:pPr>
          <w:r>
            <w:rPr>
              <w:rFonts w:cs="Arial"/>
            </w:rPr>
            <w:t>Jennie Daly</w:t>
          </w:r>
        </w:p>
      </w:tc>
    </w:tr>
  </w:tbl>
  <w:p w14:paraId="50A4B0D8" w14:textId="77777777" w:rsidR="008641E4" w:rsidRDefault="0086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938B" w14:textId="77777777" w:rsidR="00185D67" w:rsidRDefault="00185D67">
      <w:r>
        <w:separator/>
      </w:r>
    </w:p>
  </w:footnote>
  <w:footnote w:type="continuationSeparator" w:id="0">
    <w:p w14:paraId="2C8A1D16" w14:textId="77777777" w:rsidR="00185D67" w:rsidRDefault="00185D67">
      <w:r>
        <w:continuationSeparator/>
      </w:r>
    </w:p>
  </w:footnote>
  <w:footnote w:type="continuationNotice" w:id="1">
    <w:p w14:paraId="67D51963" w14:textId="77777777" w:rsidR="00185D67" w:rsidRDefault="00185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55F6" w14:textId="5DFB6977" w:rsidR="00D405C1" w:rsidRDefault="00D4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19"/>
    <w:multiLevelType w:val="hybridMultilevel"/>
    <w:tmpl w:val="3830F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96410"/>
    <w:multiLevelType w:val="hybridMultilevel"/>
    <w:tmpl w:val="7C6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92DFE"/>
    <w:multiLevelType w:val="hybridMultilevel"/>
    <w:tmpl w:val="0FF6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F6C06"/>
    <w:multiLevelType w:val="hybridMultilevel"/>
    <w:tmpl w:val="F826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3FE8"/>
    <w:multiLevelType w:val="hybridMultilevel"/>
    <w:tmpl w:val="D73A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963AB"/>
    <w:multiLevelType w:val="hybridMultilevel"/>
    <w:tmpl w:val="BD68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73874"/>
    <w:multiLevelType w:val="hybridMultilevel"/>
    <w:tmpl w:val="E6C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C70EC"/>
    <w:multiLevelType w:val="multilevel"/>
    <w:tmpl w:val="DC04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C5BCB"/>
    <w:multiLevelType w:val="multilevel"/>
    <w:tmpl w:val="7B864A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8A8252B"/>
    <w:multiLevelType w:val="multilevel"/>
    <w:tmpl w:val="53B4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F0A9C"/>
    <w:multiLevelType w:val="multilevel"/>
    <w:tmpl w:val="81F40DD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223B7B85"/>
    <w:multiLevelType w:val="hybridMultilevel"/>
    <w:tmpl w:val="F7E0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56BDA"/>
    <w:multiLevelType w:val="multilevel"/>
    <w:tmpl w:val="D090A5B8"/>
    <w:lvl w:ilvl="0">
      <w:start w:val="1"/>
      <w:numFmt w:val="decimal"/>
      <w:lvlText w:val="%1."/>
      <w:lvlJc w:val="left"/>
      <w:pPr>
        <w:ind w:left="1080" w:hanging="720"/>
      </w:pPr>
      <w:rPr>
        <w:rFonts w:hint="default"/>
        <w:b w:val="0"/>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CC4D96"/>
    <w:multiLevelType w:val="hybridMultilevel"/>
    <w:tmpl w:val="C2E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E2259"/>
    <w:multiLevelType w:val="hybridMultilevel"/>
    <w:tmpl w:val="C7964C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5B5C"/>
    <w:multiLevelType w:val="hybridMultilevel"/>
    <w:tmpl w:val="F4B2D32C"/>
    <w:lvl w:ilvl="0" w:tplc="B3101D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46A1C"/>
    <w:multiLevelType w:val="hybridMultilevel"/>
    <w:tmpl w:val="8D2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333C4"/>
    <w:multiLevelType w:val="hybridMultilevel"/>
    <w:tmpl w:val="9014EF0C"/>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2EDD20C9"/>
    <w:multiLevelType w:val="hybridMultilevel"/>
    <w:tmpl w:val="D69A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34B5A"/>
    <w:multiLevelType w:val="hybridMultilevel"/>
    <w:tmpl w:val="EDD49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C22ACB"/>
    <w:multiLevelType w:val="hybridMultilevel"/>
    <w:tmpl w:val="B5F8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F765F"/>
    <w:multiLevelType w:val="multilevel"/>
    <w:tmpl w:val="C1F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A5F80"/>
    <w:multiLevelType w:val="hybridMultilevel"/>
    <w:tmpl w:val="FDF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53AA5"/>
    <w:multiLevelType w:val="multilevel"/>
    <w:tmpl w:val="B35A027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4220DE"/>
    <w:multiLevelType w:val="hybridMultilevel"/>
    <w:tmpl w:val="402C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F1E56"/>
    <w:multiLevelType w:val="hybridMultilevel"/>
    <w:tmpl w:val="A25C1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C3177A"/>
    <w:multiLevelType w:val="multilevel"/>
    <w:tmpl w:val="C7FA791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E2A76BC"/>
    <w:multiLevelType w:val="hybridMultilevel"/>
    <w:tmpl w:val="C9CC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435D9"/>
    <w:multiLevelType w:val="hybridMultilevel"/>
    <w:tmpl w:val="22D00D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4FFA67D5"/>
    <w:multiLevelType w:val="hybridMultilevel"/>
    <w:tmpl w:val="39D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AA"/>
    <w:multiLevelType w:val="multilevel"/>
    <w:tmpl w:val="A3CA25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619F51F5"/>
    <w:multiLevelType w:val="hybridMultilevel"/>
    <w:tmpl w:val="C4DE1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5D241A"/>
    <w:multiLevelType w:val="multilevel"/>
    <w:tmpl w:val="59E8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BC5D12"/>
    <w:multiLevelType w:val="hybridMultilevel"/>
    <w:tmpl w:val="CBD8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2C348F"/>
    <w:multiLevelType w:val="hybridMultilevel"/>
    <w:tmpl w:val="FE4EB7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94825"/>
    <w:multiLevelType w:val="hybridMultilevel"/>
    <w:tmpl w:val="FFBC9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563640"/>
    <w:multiLevelType w:val="hybridMultilevel"/>
    <w:tmpl w:val="E452B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1922176">
    <w:abstractNumId w:val="27"/>
  </w:num>
  <w:num w:numId="2" w16cid:durableId="1861234298">
    <w:abstractNumId w:val="1"/>
  </w:num>
  <w:num w:numId="3" w16cid:durableId="143395585">
    <w:abstractNumId w:val="2"/>
  </w:num>
  <w:num w:numId="4" w16cid:durableId="776749831">
    <w:abstractNumId w:val="11"/>
  </w:num>
  <w:num w:numId="5" w16cid:durableId="1651640920">
    <w:abstractNumId w:val="3"/>
  </w:num>
  <w:num w:numId="6" w16cid:durableId="16466780">
    <w:abstractNumId w:val="4"/>
  </w:num>
  <w:num w:numId="7" w16cid:durableId="488835241">
    <w:abstractNumId w:val="33"/>
  </w:num>
  <w:num w:numId="8" w16cid:durableId="1490553912">
    <w:abstractNumId w:val="6"/>
  </w:num>
  <w:num w:numId="9" w16cid:durableId="207956869">
    <w:abstractNumId w:val="29"/>
  </w:num>
  <w:num w:numId="10" w16cid:durableId="1517114539">
    <w:abstractNumId w:val="13"/>
  </w:num>
  <w:num w:numId="11" w16cid:durableId="412161800">
    <w:abstractNumId w:val="16"/>
  </w:num>
  <w:num w:numId="12" w16cid:durableId="777871973">
    <w:abstractNumId w:val="17"/>
  </w:num>
  <w:num w:numId="13" w16cid:durableId="1077437524">
    <w:abstractNumId w:val="20"/>
  </w:num>
  <w:num w:numId="14" w16cid:durableId="1149781724">
    <w:abstractNumId w:val="22"/>
  </w:num>
  <w:num w:numId="15" w16cid:durableId="1155029584">
    <w:abstractNumId w:val="5"/>
  </w:num>
  <w:num w:numId="16" w16cid:durableId="848641048">
    <w:abstractNumId w:val="18"/>
  </w:num>
  <w:num w:numId="17" w16cid:durableId="1498496527">
    <w:abstractNumId w:val="24"/>
  </w:num>
  <w:num w:numId="18" w16cid:durableId="1514102346">
    <w:abstractNumId w:val="0"/>
  </w:num>
  <w:num w:numId="19" w16cid:durableId="1087847115">
    <w:abstractNumId w:val="14"/>
  </w:num>
  <w:num w:numId="20" w16cid:durableId="1692561591">
    <w:abstractNumId w:val="34"/>
  </w:num>
  <w:num w:numId="21" w16cid:durableId="684479596">
    <w:abstractNumId w:val="25"/>
  </w:num>
  <w:num w:numId="22" w16cid:durableId="2074504313">
    <w:abstractNumId w:val="35"/>
  </w:num>
  <w:num w:numId="23" w16cid:durableId="1817532899">
    <w:abstractNumId w:val="15"/>
  </w:num>
  <w:num w:numId="24" w16cid:durableId="1899509091">
    <w:abstractNumId w:val="9"/>
  </w:num>
  <w:num w:numId="25" w16cid:durableId="541750637">
    <w:abstractNumId w:val="30"/>
  </w:num>
  <w:num w:numId="26" w16cid:durableId="1602949448">
    <w:abstractNumId w:val="8"/>
  </w:num>
  <w:num w:numId="27" w16cid:durableId="702444616">
    <w:abstractNumId w:val="10"/>
  </w:num>
  <w:num w:numId="28" w16cid:durableId="477723725">
    <w:abstractNumId w:val="21"/>
  </w:num>
  <w:num w:numId="29" w16cid:durableId="1847787856">
    <w:abstractNumId w:val="32"/>
  </w:num>
  <w:num w:numId="30" w16cid:durableId="1586258642">
    <w:abstractNumId w:val="7"/>
  </w:num>
  <w:num w:numId="31" w16cid:durableId="477579170">
    <w:abstractNumId w:val="28"/>
  </w:num>
  <w:num w:numId="32" w16cid:durableId="1788503899">
    <w:abstractNumId w:val="31"/>
  </w:num>
  <w:num w:numId="33" w16cid:durableId="1850102397">
    <w:abstractNumId w:val="12"/>
  </w:num>
  <w:num w:numId="34" w16cid:durableId="1345981470">
    <w:abstractNumId w:val="36"/>
  </w:num>
  <w:num w:numId="35" w16cid:durableId="136849741">
    <w:abstractNumId w:val="26"/>
  </w:num>
  <w:num w:numId="36" w16cid:durableId="1009524878">
    <w:abstractNumId w:val="23"/>
  </w:num>
  <w:num w:numId="37" w16cid:durableId="589854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50"/>
    <w:rsid w:val="00010AE2"/>
    <w:rsid w:val="00012F0E"/>
    <w:rsid w:val="00030D3A"/>
    <w:rsid w:val="00034080"/>
    <w:rsid w:val="00056AE1"/>
    <w:rsid w:val="00061405"/>
    <w:rsid w:val="00061D0A"/>
    <w:rsid w:val="00070C02"/>
    <w:rsid w:val="0007271A"/>
    <w:rsid w:val="00085878"/>
    <w:rsid w:val="000919D6"/>
    <w:rsid w:val="000921A5"/>
    <w:rsid w:val="000A2968"/>
    <w:rsid w:val="000A4031"/>
    <w:rsid w:val="000A5E72"/>
    <w:rsid w:val="000B03F7"/>
    <w:rsid w:val="000B3C06"/>
    <w:rsid w:val="000B7CE1"/>
    <w:rsid w:val="000B7DCC"/>
    <w:rsid w:val="000D6503"/>
    <w:rsid w:val="000D66C5"/>
    <w:rsid w:val="000E137E"/>
    <w:rsid w:val="000F36C4"/>
    <w:rsid w:val="00106975"/>
    <w:rsid w:val="00112C58"/>
    <w:rsid w:val="001142CA"/>
    <w:rsid w:val="00114CE5"/>
    <w:rsid w:val="001507E9"/>
    <w:rsid w:val="00156B5A"/>
    <w:rsid w:val="00157CB6"/>
    <w:rsid w:val="00170546"/>
    <w:rsid w:val="00174C1D"/>
    <w:rsid w:val="00175190"/>
    <w:rsid w:val="00176D30"/>
    <w:rsid w:val="00180169"/>
    <w:rsid w:val="00185D67"/>
    <w:rsid w:val="001A5BFF"/>
    <w:rsid w:val="001B0770"/>
    <w:rsid w:val="001C76A5"/>
    <w:rsid w:val="001D4401"/>
    <w:rsid w:val="001E39DB"/>
    <w:rsid w:val="001E5D9D"/>
    <w:rsid w:val="001E6384"/>
    <w:rsid w:val="001E6D0F"/>
    <w:rsid w:val="00204B0A"/>
    <w:rsid w:val="00212E95"/>
    <w:rsid w:val="0021611D"/>
    <w:rsid w:val="002203BD"/>
    <w:rsid w:val="00223196"/>
    <w:rsid w:val="002312DC"/>
    <w:rsid w:val="00244185"/>
    <w:rsid w:val="00246EA3"/>
    <w:rsid w:val="00250C80"/>
    <w:rsid w:val="00255609"/>
    <w:rsid w:val="0025605A"/>
    <w:rsid w:val="002642C9"/>
    <w:rsid w:val="002669EB"/>
    <w:rsid w:val="00267332"/>
    <w:rsid w:val="00267AC4"/>
    <w:rsid w:val="0027008C"/>
    <w:rsid w:val="00275C06"/>
    <w:rsid w:val="0028126D"/>
    <w:rsid w:val="002839AE"/>
    <w:rsid w:val="00287C26"/>
    <w:rsid w:val="00297272"/>
    <w:rsid w:val="002A0D79"/>
    <w:rsid w:val="002A4BA6"/>
    <w:rsid w:val="002B23E3"/>
    <w:rsid w:val="002B67EF"/>
    <w:rsid w:val="002C1C7F"/>
    <w:rsid w:val="002D3E2A"/>
    <w:rsid w:val="002D669E"/>
    <w:rsid w:val="002E517D"/>
    <w:rsid w:val="002F1F91"/>
    <w:rsid w:val="00313B88"/>
    <w:rsid w:val="00313C0E"/>
    <w:rsid w:val="00332D3B"/>
    <w:rsid w:val="00333B49"/>
    <w:rsid w:val="00350576"/>
    <w:rsid w:val="00352CA3"/>
    <w:rsid w:val="00353096"/>
    <w:rsid w:val="00373C63"/>
    <w:rsid w:val="00374918"/>
    <w:rsid w:val="00376119"/>
    <w:rsid w:val="00380974"/>
    <w:rsid w:val="003A6BB9"/>
    <w:rsid w:val="003A706E"/>
    <w:rsid w:val="003F04EF"/>
    <w:rsid w:val="003F5037"/>
    <w:rsid w:val="004017C5"/>
    <w:rsid w:val="004262B3"/>
    <w:rsid w:val="004425B2"/>
    <w:rsid w:val="00444F64"/>
    <w:rsid w:val="00453DA6"/>
    <w:rsid w:val="0045612D"/>
    <w:rsid w:val="004571DB"/>
    <w:rsid w:val="00463EC7"/>
    <w:rsid w:val="00464327"/>
    <w:rsid w:val="0046442C"/>
    <w:rsid w:val="004645EA"/>
    <w:rsid w:val="004744DA"/>
    <w:rsid w:val="00482E59"/>
    <w:rsid w:val="0049332B"/>
    <w:rsid w:val="0049541A"/>
    <w:rsid w:val="004C768A"/>
    <w:rsid w:val="004D5C50"/>
    <w:rsid w:val="004F7C83"/>
    <w:rsid w:val="005050A8"/>
    <w:rsid w:val="00505EAC"/>
    <w:rsid w:val="00506F9A"/>
    <w:rsid w:val="005177CD"/>
    <w:rsid w:val="00540CA0"/>
    <w:rsid w:val="0054650C"/>
    <w:rsid w:val="0056582E"/>
    <w:rsid w:val="00566128"/>
    <w:rsid w:val="005711B1"/>
    <w:rsid w:val="005750AE"/>
    <w:rsid w:val="00580B27"/>
    <w:rsid w:val="005C598C"/>
    <w:rsid w:val="005E1970"/>
    <w:rsid w:val="005F2044"/>
    <w:rsid w:val="005F4063"/>
    <w:rsid w:val="00611BCE"/>
    <w:rsid w:val="00613C54"/>
    <w:rsid w:val="00620812"/>
    <w:rsid w:val="00623983"/>
    <w:rsid w:val="00624C35"/>
    <w:rsid w:val="00631819"/>
    <w:rsid w:val="0063244F"/>
    <w:rsid w:val="0065198F"/>
    <w:rsid w:val="00656DEC"/>
    <w:rsid w:val="00657CD0"/>
    <w:rsid w:val="006648A4"/>
    <w:rsid w:val="00667A16"/>
    <w:rsid w:val="00682E25"/>
    <w:rsid w:val="0069047F"/>
    <w:rsid w:val="00695E80"/>
    <w:rsid w:val="006960D8"/>
    <w:rsid w:val="00697A80"/>
    <w:rsid w:val="006A66F4"/>
    <w:rsid w:val="006A79B2"/>
    <w:rsid w:val="006B0304"/>
    <w:rsid w:val="006B1230"/>
    <w:rsid w:val="006B2271"/>
    <w:rsid w:val="006B7090"/>
    <w:rsid w:val="006C2231"/>
    <w:rsid w:val="006D2258"/>
    <w:rsid w:val="006D2BCB"/>
    <w:rsid w:val="006D6A71"/>
    <w:rsid w:val="006F23FA"/>
    <w:rsid w:val="006F4B7F"/>
    <w:rsid w:val="006F5794"/>
    <w:rsid w:val="006F5B70"/>
    <w:rsid w:val="00711C24"/>
    <w:rsid w:val="007169EE"/>
    <w:rsid w:val="00717F42"/>
    <w:rsid w:val="0072395A"/>
    <w:rsid w:val="00752C7C"/>
    <w:rsid w:val="007549B8"/>
    <w:rsid w:val="007609B8"/>
    <w:rsid w:val="00772318"/>
    <w:rsid w:val="007735D0"/>
    <w:rsid w:val="00775DC1"/>
    <w:rsid w:val="007910C5"/>
    <w:rsid w:val="007A0F53"/>
    <w:rsid w:val="007B2D8E"/>
    <w:rsid w:val="007B68C5"/>
    <w:rsid w:val="007C643E"/>
    <w:rsid w:val="007D603C"/>
    <w:rsid w:val="007E3299"/>
    <w:rsid w:val="007F34FF"/>
    <w:rsid w:val="007F380E"/>
    <w:rsid w:val="008032EA"/>
    <w:rsid w:val="00815621"/>
    <w:rsid w:val="00823A99"/>
    <w:rsid w:val="00830091"/>
    <w:rsid w:val="0083179D"/>
    <w:rsid w:val="00847E0C"/>
    <w:rsid w:val="008641E4"/>
    <w:rsid w:val="008650B7"/>
    <w:rsid w:val="00865678"/>
    <w:rsid w:val="00867081"/>
    <w:rsid w:val="00871980"/>
    <w:rsid w:val="0089012E"/>
    <w:rsid w:val="0089750C"/>
    <w:rsid w:val="008A6613"/>
    <w:rsid w:val="008B364D"/>
    <w:rsid w:val="008C2DD7"/>
    <w:rsid w:val="008C6CD9"/>
    <w:rsid w:val="008C6D2E"/>
    <w:rsid w:val="008D6EA1"/>
    <w:rsid w:val="008F6D0B"/>
    <w:rsid w:val="008F7093"/>
    <w:rsid w:val="009158DD"/>
    <w:rsid w:val="00931516"/>
    <w:rsid w:val="0093382F"/>
    <w:rsid w:val="00935D3E"/>
    <w:rsid w:val="00941731"/>
    <w:rsid w:val="009521B0"/>
    <w:rsid w:val="00954717"/>
    <w:rsid w:val="009570F9"/>
    <w:rsid w:val="009607CC"/>
    <w:rsid w:val="009616C7"/>
    <w:rsid w:val="00962754"/>
    <w:rsid w:val="00962BA9"/>
    <w:rsid w:val="00976AC3"/>
    <w:rsid w:val="0098530A"/>
    <w:rsid w:val="009944C9"/>
    <w:rsid w:val="009A5EA5"/>
    <w:rsid w:val="009C1A25"/>
    <w:rsid w:val="009C2857"/>
    <w:rsid w:val="009C3436"/>
    <w:rsid w:val="009C3F0D"/>
    <w:rsid w:val="009D6619"/>
    <w:rsid w:val="009F1808"/>
    <w:rsid w:val="009F3AA8"/>
    <w:rsid w:val="009F5D83"/>
    <w:rsid w:val="00A02A56"/>
    <w:rsid w:val="00A11AEB"/>
    <w:rsid w:val="00A31626"/>
    <w:rsid w:val="00A50FF5"/>
    <w:rsid w:val="00A51C9E"/>
    <w:rsid w:val="00A5264A"/>
    <w:rsid w:val="00A627F5"/>
    <w:rsid w:val="00A63D90"/>
    <w:rsid w:val="00A67AFF"/>
    <w:rsid w:val="00A74AEB"/>
    <w:rsid w:val="00A75AFF"/>
    <w:rsid w:val="00A9191A"/>
    <w:rsid w:val="00AA081B"/>
    <w:rsid w:val="00AA5C6A"/>
    <w:rsid w:val="00AA785A"/>
    <w:rsid w:val="00AB2814"/>
    <w:rsid w:val="00AB414F"/>
    <w:rsid w:val="00AC5553"/>
    <w:rsid w:val="00AC7815"/>
    <w:rsid w:val="00AE0805"/>
    <w:rsid w:val="00AF1C4A"/>
    <w:rsid w:val="00AF43A4"/>
    <w:rsid w:val="00AF792D"/>
    <w:rsid w:val="00B001B8"/>
    <w:rsid w:val="00B10A25"/>
    <w:rsid w:val="00B13958"/>
    <w:rsid w:val="00B239AA"/>
    <w:rsid w:val="00B25EA7"/>
    <w:rsid w:val="00B30F94"/>
    <w:rsid w:val="00B33CF1"/>
    <w:rsid w:val="00B43ED4"/>
    <w:rsid w:val="00B446BB"/>
    <w:rsid w:val="00B64767"/>
    <w:rsid w:val="00B71072"/>
    <w:rsid w:val="00B72BD4"/>
    <w:rsid w:val="00B80D7B"/>
    <w:rsid w:val="00B86674"/>
    <w:rsid w:val="00B925A3"/>
    <w:rsid w:val="00B92891"/>
    <w:rsid w:val="00B942A0"/>
    <w:rsid w:val="00BA2B1F"/>
    <w:rsid w:val="00BC49F9"/>
    <w:rsid w:val="00BD6FE8"/>
    <w:rsid w:val="00BE30AD"/>
    <w:rsid w:val="00BF0925"/>
    <w:rsid w:val="00C05F8C"/>
    <w:rsid w:val="00C30F26"/>
    <w:rsid w:val="00C4039F"/>
    <w:rsid w:val="00C45285"/>
    <w:rsid w:val="00C53EBF"/>
    <w:rsid w:val="00C66642"/>
    <w:rsid w:val="00C67E5C"/>
    <w:rsid w:val="00C9552F"/>
    <w:rsid w:val="00C963C2"/>
    <w:rsid w:val="00CA1ED8"/>
    <w:rsid w:val="00CA702E"/>
    <w:rsid w:val="00CD1B7B"/>
    <w:rsid w:val="00CD5DFB"/>
    <w:rsid w:val="00CD6AB4"/>
    <w:rsid w:val="00CE051C"/>
    <w:rsid w:val="00CE4D80"/>
    <w:rsid w:val="00CE5517"/>
    <w:rsid w:val="00CE78A1"/>
    <w:rsid w:val="00CF0AE6"/>
    <w:rsid w:val="00D0092D"/>
    <w:rsid w:val="00D1493A"/>
    <w:rsid w:val="00D15194"/>
    <w:rsid w:val="00D405C1"/>
    <w:rsid w:val="00D5379C"/>
    <w:rsid w:val="00D70959"/>
    <w:rsid w:val="00D70FE2"/>
    <w:rsid w:val="00D84269"/>
    <w:rsid w:val="00D96114"/>
    <w:rsid w:val="00DA0FE8"/>
    <w:rsid w:val="00DA61B9"/>
    <w:rsid w:val="00DB0F88"/>
    <w:rsid w:val="00DD2753"/>
    <w:rsid w:val="00DE380E"/>
    <w:rsid w:val="00DE6650"/>
    <w:rsid w:val="00DF75A2"/>
    <w:rsid w:val="00E02019"/>
    <w:rsid w:val="00E04A75"/>
    <w:rsid w:val="00E05023"/>
    <w:rsid w:val="00E055B3"/>
    <w:rsid w:val="00E06D77"/>
    <w:rsid w:val="00E10295"/>
    <w:rsid w:val="00E11470"/>
    <w:rsid w:val="00E212F1"/>
    <w:rsid w:val="00E249BB"/>
    <w:rsid w:val="00E268A3"/>
    <w:rsid w:val="00E40E5D"/>
    <w:rsid w:val="00E4333F"/>
    <w:rsid w:val="00E45DC4"/>
    <w:rsid w:val="00E46346"/>
    <w:rsid w:val="00E52332"/>
    <w:rsid w:val="00E53CC7"/>
    <w:rsid w:val="00E644BF"/>
    <w:rsid w:val="00E6539E"/>
    <w:rsid w:val="00E70BF9"/>
    <w:rsid w:val="00E74C86"/>
    <w:rsid w:val="00E76AB2"/>
    <w:rsid w:val="00E77256"/>
    <w:rsid w:val="00E7798A"/>
    <w:rsid w:val="00E8125F"/>
    <w:rsid w:val="00E9116E"/>
    <w:rsid w:val="00E9163F"/>
    <w:rsid w:val="00E967FB"/>
    <w:rsid w:val="00EA5517"/>
    <w:rsid w:val="00EB1855"/>
    <w:rsid w:val="00EB5A58"/>
    <w:rsid w:val="00EC4C88"/>
    <w:rsid w:val="00EC4E82"/>
    <w:rsid w:val="00ED28D2"/>
    <w:rsid w:val="00ED5C65"/>
    <w:rsid w:val="00EE25E2"/>
    <w:rsid w:val="00EF37A0"/>
    <w:rsid w:val="00F009F7"/>
    <w:rsid w:val="00F10255"/>
    <w:rsid w:val="00F15508"/>
    <w:rsid w:val="00F30348"/>
    <w:rsid w:val="00F468C3"/>
    <w:rsid w:val="00F52D4B"/>
    <w:rsid w:val="00F5356B"/>
    <w:rsid w:val="00F55F77"/>
    <w:rsid w:val="00F8099B"/>
    <w:rsid w:val="00F834F3"/>
    <w:rsid w:val="00F957CF"/>
    <w:rsid w:val="00F9781C"/>
    <w:rsid w:val="00F9792C"/>
    <w:rsid w:val="00FA1121"/>
    <w:rsid w:val="00FB6F88"/>
    <w:rsid w:val="00FC0246"/>
    <w:rsid w:val="00FC7C78"/>
    <w:rsid w:val="00FF1E6F"/>
    <w:rsid w:val="5028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6B438"/>
  <w15:docId w15:val="{7209F6F6-04F8-4ADE-BB92-E97D0BC2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26D"/>
    <w:pPr>
      <w:jc w:val="both"/>
    </w:pPr>
    <w:rPr>
      <w:rFonts w:ascii="Arial" w:hAnsi="Arial"/>
      <w:sz w:val="24"/>
      <w:szCs w:val="24"/>
      <w:lang w:eastAsia="en-US"/>
    </w:rPr>
  </w:style>
  <w:style w:type="paragraph" w:styleId="Heading1">
    <w:name w:val="heading 1"/>
    <w:basedOn w:val="Normal"/>
    <w:next w:val="Normal"/>
    <w:link w:val="Heading1Char"/>
    <w:qFormat/>
    <w:rsid w:val="0028126D"/>
    <w:pPr>
      <w:keepNext/>
      <w:keepLines/>
      <w:spacing w:before="240" w:after="120"/>
      <w:outlineLvl w:val="0"/>
    </w:pPr>
    <w:rPr>
      <w:rFonts w:eastAsiaTheme="majorEastAsia" w:cstheme="majorBidi"/>
      <w:b/>
      <w:bCs/>
      <w:szCs w:val="28"/>
    </w:rPr>
  </w:style>
  <w:style w:type="paragraph" w:styleId="Heading2">
    <w:name w:val="heading 2"/>
    <w:basedOn w:val="Normal"/>
    <w:next w:val="Normal"/>
    <w:link w:val="Heading2Char"/>
    <w:unhideWhenUsed/>
    <w:qFormat/>
    <w:rsid w:val="0028126D"/>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C78"/>
    <w:rPr>
      <w:color w:val="0000FF"/>
      <w:u w:val="single"/>
    </w:rPr>
  </w:style>
  <w:style w:type="paragraph" w:styleId="Header">
    <w:name w:val="header"/>
    <w:basedOn w:val="Normal"/>
    <w:rsid w:val="007C643E"/>
    <w:pPr>
      <w:tabs>
        <w:tab w:val="center" w:pos="4153"/>
        <w:tab w:val="right" w:pos="8306"/>
      </w:tabs>
    </w:pPr>
  </w:style>
  <w:style w:type="paragraph" w:styleId="Footer">
    <w:name w:val="footer"/>
    <w:basedOn w:val="Normal"/>
    <w:rsid w:val="007C643E"/>
    <w:pPr>
      <w:tabs>
        <w:tab w:val="center" w:pos="4153"/>
        <w:tab w:val="right" w:pos="8306"/>
      </w:tabs>
    </w:pPr>
  </w:style>
  <w:style w:type="character" w:styleId="PageNumber">
    <w:name w:val="page number"/>
    <w:basedOn w:val="DefaultParagraphFont"/>
    <w:rsid w:val="007C643E"/>
  </w:style>
  <w:style w:type="table" w:styleId="TableGrid">
    <w:name w:val="Table Grid"/>
    <w:basedOn w:val="TableNormal"/>
    <w:rsid w:val="00EB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7CD0"/>
    <w:rPr>
      <w:rFonts w:ascii="Tahoma" w:hAnsi="Tahoma" w:cs="Tahoma"/>
      <w:sz w:val="16"/>
      <w:szCs w:val="16"/>
    </w:rPr>
  </w:style>
  <w:style w:type="character" w:customStyle="1" w:styleId="BalloonTextChar">
    <w:name w:val="Balloon Text Char"/>
    <w:basedOn w:val="DefaultParagraphFont"/>
    <w:link w:val="BalloonText"/>
    <w:rsid w:val="00657CD0"/>
    <w:rPr>
      <w:rFonts w:ascii="Tahoma" w:hAnsi="Tahoma" w:cs="Tahoma"/>
      <w:sz w:val="16"/>
      <w:szCs w:val="16"/>
      <w:lang w:eastAsia="en-US"/>
    </w:rPr>
  </w:style>
  <w:style w:type="character" w:customStyle="1" w:styleId="Heading2Char">
    <w:name w:val="Heading 2 Char"/>
    <w:basedOn w:val="DefaultParagraphFont"/>
    <w:link w:val="Heading2"/>
    <w:rsid w:val="0028126D"/>
    <w:rPr>
      <w:rFonts w:ascii="Arial" w:eastAsiaTheme="majorEastAsia" w:hAnsi="Arial" w:cstheme="majorBidi"/>
      <w:b/>
      <w:bCs/>
      <w:i/>
      <w:sz w:val="24"/>
      <w:szCs w:val="26"/>
      <w:lang w:eastAsia="en-US"/>
    </w:rPr>
  </w:style>
  <w:style w:type="character" w:styleId="Emphasis">
    <w:name w:val="Emphasis"/>
    <w:basedOn w:val="DefaultParagraphFont"/>
    <w:rsid w:val="0028126D"/>
    <w:rPr>
      <w:i/>
      <w:iCs/>
    </w:rPr>
  </w:style>
  <w:style w:type="character" w:customStyle="1" w:styleId="Heading1Char">
    <w:name w:val="Heading 1 Char"/>
    <w:basedOn w:val="DefaultParagraphFont"/>
    <w:link w:val="Heading1"/>
    <w:rsid w:val="0028126D"/>
    <w:rPr>
      <w:rFonts w:ascii="Arial" w:eastAsiaTheme="majorEastAsia" w:hAnsi="Arial" w:cstheme="majorBidi"/>
      <w:b/>
      <w:bCs/>
      <w:sz w:val="24"/>
      <w:szCs w:val="28"/>
      <w:lang w:eastAsia="en-US"/>
    </w:rPr>
  </w:style>
  <w:style w:type="paragraph" w:styleId="Title">
    <w:name w:val="Title"/>
    <w:basedOn w:val="Normal"/>
    <w:next w:val="Normal"/>
    <w:link w:val="TitleChar"/>
    <w:qFormat/>
    <w:rsid w:val="0028126D"/>
    <w:pPr>
      <w:spacing w:before="240" w:after="240"/>
      <w:contextualSpacing/>
    </w:pPr>
    <w:rPr>
      <w:rFonts w:eastAsiaTheme="majorEastAsia" w:cstheme="majorBidi"/>
      <w:b/>
      <w:spacing w:val="5"/>
      <w:kern w:val="28"/>
      <w:sz w:val="40"/>
      <w:szCs w:val="52"/>
    </w:rPr>
  </w:style>
  <w:style w:type="character" w:customStyle="1" w:styleId="TitleChar">
    <w:name w:val="Title Char"/>
    <w:basedOn w:val="DefaultParagraphFont"/>
    <w:link w:val="Title"/>
    <w:rsid w:val="0028126D"/>
    <w:rPr>
      <w:rFonts w:ascii="Arial" w:eastAsiaTheme="majorEastAsia" w:hAnsi="Arial" w:cstheme="majorBidi"/>
      <w:b/>
      <w:spacing w:val="5"/>
      <w:kern w:val="28"/>
      <w:sz w:val="40"/>
      <w:szCs w:val="52"/>
      <w:lang w:eastAsia="en-US"/>
    </w:rPr>
  </w:style>
  <w:style w:type="paragraph" w:styleId="ListParagraph">
    <w:name w:val="List Paragraph"/>
    <w:basedOn w:val="Normal"/>
    <w:uiPriority w:val="34"/>
    <w:qFormat/>
    <w:rsid w:val="00E268A3"/>
    <w:pPr>
      <w:ind w:left="720"/>
      <w:contextualSpacing/>
    </w:pPr>
  </w:style>
  <w:style w:type="paragraph" w:styleId="Quote">
    <w:name w:val="Quote"/>
    <w:basedOn w:val="Normal"/>
    <w:next w:val="Normal"/>
    <w:link w:val="QuoteChar"/>
    <w:uiPriority w:val="29"/>
    <w:qFormat/>
    <w:rsid w:val="00E268A3"/>
    <w:rPr>
      <w:i/>
      <w:iCs/>
      <w:color w:val="000000" w:themeColor="text1"/>
    </w:rPr>
  </w:style>
  <w:style w:type="character" w:customStyle="1" w:styleId="QuoteChar">
    <w:name w:val="Quote Char"/>
    <w:basedOn w:val="DefaultParagraphFont"/>
    <w:link w:val="Quote"/>
    <w:uiPriority w:val="29"/>
    <w:rsid w:val="00E268A3"/>
    <w:rPr>
      <w:rFonts w:ascii="Arial" w:hAnsi="Arial"/>
      <w:i/>
      <w:iCs/>
      <w:color w:val="000000" w:themeColor="text1"/>
      <w:sz w:val="24"/>
      <w:szCs w:val="24"/>
      <w:lang w:eastAsia="en-US"/>
    </w:rPr>
  </w:style>
  <w:style w:type="paragraph" w:styleId="Subtitle">
    <w:name w:val="Subtitle"/>
    <w:basedOn w:val="Normal"/>
    <w:next w:val="Normal"/>
    <w:link w:val="SubtitleChar"/>
    <w:qFormat/>
    <w:rsid w:val="00E268A3"/>
    <w:pPr>
      <w:numPr>
        <w:ilvl w:val="1"/>
      </w:numPr>
    </w:pPr>
    <w:rPr>
      <w:rFonts w:eastAsiaTheme="majorEastAsia" w:cstheme="majorBidi"/>
      <w:i/>
      <w:iCs/>
      <w:spacing w:val="15"/>
    </w:rPr>
  </w:style>
  <w:style w:type="character" w:customStyle="1" w:styleId="SubtitleChar">
    <w:name w:val="Subtitle Char"/>
    <w:basedOn w:val="DefaultParagraphFont"/>
    <w:link w:val="Subtitle"/>
    <w:rsid w:val="00E268A3"/>
    <w:rPr>
      <w:rFonts w:ascii="Arial" w:eastAsiaTheme="majorEastAsia" w:hAnsi="Arial" w:cstheme="majorBidi"/>
      <w:i/>
      <w:iCs/>
      <w:spacing w:val="15"/>
      <w:sz w:val="24"/>
      <w:szCs w:val="24"/>
      <w:lang w:eastAsia="en-US"/>
    </w:rPr>
  </w:style>
  <w:style w:type="character" w:styleId="CommentReference">
    <w:name w:val="annotation reference"/>
    <w:basedOn w:val="DefaultParagraphFont"/>
    <w:semiHidden/>
    <w:unhideWhenUsed/>
    <w:rsid w:val="00AF1C4A"/>
    <w:rPr>
      <w:sz w:val="16"/>
      <w:szCs w:val="16"/>
    </w:rPr>
  </w:style>
  <w:style w:type="paragraph" w:styleId="CommentText">
    <w:name w:val="annotation text"/>
    <w:basedOn w:val="Normal"/>
    <w:link w:val="CommentTextChar"/>
    <w:unhideWhenUsed/>
    <w:rsid w:val="00AF1C4A"/>
    <w:rPr>
      <w:sz w:val="20"/>
      <w:szCs w:val="20"/>
    </w:rPr>
  </w:style>
  <w:style w:type="character" w:customStyle="1" w:styleId="CommentTextChar">
    <w:name w:val="Comment Text Char"/>
    <w:basedOn w:val="DefaultParagraphFont"/>
    <w:link w:val="CommentText"/>
    <w:rsid w:val="00AF1C4A"/>
    <w:rPr>
      <w:rFonts w:ascii="Arial" w:hAnsi="Arial"/>
      <w:lang w:eastAsia="en-US"/>
    </w:rPr>
  </w:style>
  <w:style w:type="paragraph" w:styleId="CommentSubject">
    <w:name w:val="annotation subject"/>
    <w:basedOn w:val="CommentText"/>
    <w:next w:val="CommentText"/>
    <w:link w:val="CommentSubjectChar"/>
    <w:semiHidden/>
    <w:unhideWhenUsed/>
    <w:rsid w:val="00AF1C4A"/>
    <w:rPr>
      <w:b/>
      <w:bCs/>
    </w:rPr>
  </w:style>
  <w:style w:type="character" w:customStyle="1" w:styleId="CommentSubjectChar">
    <w:name w:val="Comment Subject Char"/>
    <w:basedOn w:val="CommentTextChar"/>
    <w:link w:val="CommentSubject"/>
    <w:semiHidden/>
    <w:rsid w:val="00AF1C4A"/>
    <w:rPr>
      <w:rFonts w:ascii="Arial" w:hAnsi="Arial"/>
      <w:b/>
      <w:bCs/>
      <w:lang w:eastAsia="en-US"/>
    </w:rPr>
  </w:style>
  <w:style w:type="paragraph" w:styleId="NormalWeb">
    <w:name w:val="Normal (Web)"/>
    <w:basedOn w:val="Normal"/>
    <w:uiPriority w:val="99"/>
    <w:semiHidden/>
    <w:unhideWhenUsed/>
    <w:rsid w:val="00012F0E"/>
    <w:pPr>
      <w:spacing w:before="100" w:beforeAutospacing="1" w:after="100" w:afterAutospacing="1"/>
      <w:jc w:val="left"/>
    </w:pPr>
    <w:rPr>
      <w:rFonts w:ascii="Times New Roman" w:hAnsi="Times New Roman"/>
      <w:lang w:eastAsia="en-GB"/>
    </w:rPr>
  </w:style>
  <w:style w:type="character" w:customStyle="1" w:styleId="normaltextrun">
    <w:name w:val="normaltextrun"/>
    <w:basedOn w:val="DefaultParagraphFont"/>
    <w:rsid w:val="00C53EBF"/>
  </w:style>
  <w:style w:type="paragraph" w:styleId="Revision">
    <w:name w:val="Revision"/>
    <w:hidden/>
    <w:uiPriority w:val="99"/>
    <w:semiHidden/>
    <w:rsid w:val="00332D3B"/>
    <w:rPr>
      <w:rFonts w:ascii="Arial" w:hAnsi="Arial"/>
      <w:sz w:val="24"/>
      <w:szCs w:val="24"/>
      <w:lang w:eastAsia="en-US"/>
    </w:rPr>
  </w:style>
  <w:style w:type="character" w:customStyle="1" w:styleId="cf01">
    <w:name w:val="cf01"/>
    <w:basedOn w:val="DefaultParagraphFont"/>
    <w:rsid w:val="00463EC7"/>
    <w:rPr>
      <w:rFonts w:ascii="Segoe UI" w:hAnsi="Segoe UI" w:cs="Segoe UI" w:hint="default"/>
      <w:sz w:val="18"/>
      <w:szCs w:val="18"/>
    </w:rPr>
  </w:style>
  <w:style w:type="paragraph" w:customStyle="1" w:styleId="pf0">
    <w:name w:val="pf0"/>
    <w:basedOn w:val="Normal"/>
    <w:rsid w:val="00464327"/>
    <w:pPr>
      <w:spacing w:before="100" w:beforeAutospacing="1" w:after="100" w:afterAutospacing="1"/>
      <w:jc w:val="left"/>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98306">
      <w:bodyDiv w:val="1"/>
      <w:marLeft w:val="0"/>
      <w:marRight w:val="0"/>
      <w:marTop w:val="0"/>
      <w:marBottom w:val="0"/>
      <w:divBdr>
        <w:top w:val="none" w:sz="0" w:space="0" w:color="auto"/>
        <w:left w:val="none" w:sz="0" w:space="0" w:color="auto"/>
        <w:bottom w:val="none" w:sz="0" w:space="0" w:color="auto"/>
        <w:right w:val="none" w:sz="0" w:space="0" w:color="auto"/>
      </w:divBdr>
    </w:div>
    <w:div w:id="765423581">
      <w:bodyDiv w:val="1"/>
      <w:marLeft w:val="0"/>
      <w:marRight w:val="0"/>
      <w:marTop w:val="0"/>
      <w:marBottom w:val="0"/>
      <w:divBdr>
        <w:top w:val="none" w:sz="0" w:space="0" w:color="auto"/>
        <w:left w:val="none" w:sz="0" w:space="0" w:color="auto"/>
        <w:bottom w:val="none" w:sz="0" w:space="0" w:color="auto"/>
        <w:right w:val="none" w:sz="0" w:space="0" w:color="auto"/>
      </w:divBdr>
      <w:divsChild>
        <w:div w:id="658770776">
          <w:marLeft w:val="0"/>
          <w:marRight w:val="0"/>
          <w:marTop w:val="0"/>
          <w:marBottom w:val="0"/>
          <w:divBdr>
            <w:top w:val="none" w:sz="0" w:space="0" w:color="242424"/>
            <w:left w:val="none" w:sz="0" w:space="0" w:color="242424"/>
            <w:bottom w:val="none" w:sz="0" w:space="0" w:color="242424"/>
            <w:right w:val="none" w:sz="0" w:space="0" w:color="242424"/>
          </w:divBdr>
        </w:div>
      </w:divsChild>
    </w:div>
    <w:div w:id="1035958316">
      <w:bodyDiv w:val="1"/>
      <w:marLeft w:val="0"/>
      <w:marRight w:val="0"/>
      <w:marTop w:val="0"/>
      <w:marBottom w:val="0"/>
      <w:divBdr>
        <w:top w:val="none" w:sz="0" w:space="0" w:color="auto"/>
        <w:left w:val="none" w:sz="0" w:space="0" w:color="auto"/>
        <w:bottom w:val="none" w:sz="0" w:space="0" w:color="auto"/>
        <w:right w:val="none" w:sz="0" w:space="0" w:color="auto"/>
      </w:divBdr>
    </w:div>
    <w:div w:id="1178470845">
      <w:bodyDiv w:val="1"/>
      <w:marLeft w:val="0"/>
      <w:marRight w:val="0"/>
      <w:marTop w:val="0"/>
      <w:marBottom w:val="0"/>
      <w:divBdr>
        <w:top w:val="none" w:sz="0" w:space="0" w:color="auto"/>
        <w:left w:val="none" w:sz="0" w:space="0" w:color="auto"/>
        <w:bottom w:val="none" w:sz="0" w:space="0" w:color="auto"/>
        <w:right w:val="none" w:sz="0" w:space="0" w:color="auto"/>
      </w:divBdr>
      <w:divsChild>
        <w:div w:id="79376843">
          <w:marLeft w:val="0"/>
          <w:marRight w:val="0"/>
          <w:marTop w:val="0"/>
          <w:marBottom w:val="0"/>
          <w:divBdr>
            <w:top w:val="none" w:sz="0" w:space="0" w:color="auto"/>
            <w:left w:val="none" w:sz="0" w:space="0" w:color="auto"/>
            <w:bottom w:val="none" w:sz="0" w:space="0" w:color="auto"/>
            <w:right w:val="none" w:sz="0" w:space="0" w:color="auto"/>
          </w:divBdr>
          <w:divsChild>
            <w:div w:id="1586761115">
              <w:marLeft w:val="0"/>
              <w:marRight w:val="0"/>
              <w:marTop w:val="0"/>
              <w:marBottom w:val="0"/>
              <w:divBdr>
                <w:top w:val="none" w:sz="0" w:space="0" w:color="auto"/>
                <w:left w:val="none" w:sz="0" w:space="0" w:color="auto"/>
                <w:bottom w:val="none" w:sz="0" w:space="0" w:color="auto"/>
                <w:right w:val="none" w:sz="0" w:space="0" w:color="auto"/>
              </w:divBdr>
            </w:div>
          </w:divsChild>
        </w:div>
        <w:div w:id="161315085">
          <w:marLeft w:val="0"/>
          <w:marRight w:val="0"/>
          <w:marTop w:val="0"/>
          <w:marBottom w:val="0"/>
          <w:divBdr>
            <w:top w:val="none" w:sz="0" w:space="0" w:color="auto"/>
            <w:left w:val="none" w:sz="0" w:space="0" w:color="auto"/>
            <w:bottom w:val="none" w:sz="0" w:space="0" w:color="auto"/>
            <w:right w:val="none" w:sz="0" w:space="0" w:color="auto"/>
          </w:divBdr>
          <w:divsChild>
            <w:div w:id="1097095628">
              <w:marLeft w:val="0"/>
              <w:marRight w:val="0"/>
              <w:marTop w:val="0"/>
              <w:marBottom w:val="0"/>
              <w:divBdr>
                <w:top w:val="none" w:sz="0" w:space="0" w:color="auto"/>
                <w:left w:val="none" w:sz="0" w:space="0" w:color="auto"/>
                <w:bottom w:val="none" w:sz="0" w:space="0" w:color="auto"/>
                <w:right w:val="none" w:sz="0" w:space="0" w:color="auto"/>
              </w:divBdr>
            </w:div>
          </w:divsChild>
        </w:div>
        <w:div w:id="1070152140">
          <w:marLeft w:val="0"/>
          <w:marRight w:val="0"/>
          <w:marTop w:val="0"/>
          <w:marBottom w:val="0"/>
          <w:divBdr>
            <w:top w:val="none" w:sz="0" w:space="0" w:color="auto"/>
            <w:left w:val="none" w:sz="0" w:space="0" w:color="auto"/>
            <w:bottom w:val="none" w:sz="0" w:space="0" w:color="auto"/>
            <w:right w:val="none" w:sz="0" w:space="0" w:color="auto"/>
          </w:divBdr>
          <w:divsChild>
            <w:div w:id="516622735">
              <w:marLeft w:val="0"/>
              <w:marRight w:val="0"/>
              <w:marTop w:val="0"/>
              <w:marBottom w:val="0"/>
              <w:divBdr>
                <w:top w:val="none" w:sz="0" w:space="0" w:color="auto"/>
                <w:left w:val="none" w:sz="0" w:space="0" w:color="auto"/>
                <w:bottom w:val="none" w:sz="0" w:space="0" w:color="auto"/>
                <w:right w:val="none" w:sz="0" w:space="0" w:color="auto"/>
              </w:divBdr>
            </w:div>
          </w:divsChild>
        </w:div>
        <w:div w:id="1156414598">
          <w:marLeft w:val="0"/>
          <w:marRight w:val="0"/>
          <w:marTop w:val="0"/>
          <w:marBottom w:val="0"/>
          <w:divBdr>
            <w:top w:val="none" w:sz="0" w:space="0" w:color="auto"/>
            <w:left w:val="none" w:sz="0" w:space="0" w:color="auto"/>
            <w:bottom w:val="none" w:sz="0" w:space="0" w:color="auto"/>
            <w:right w:val="none" w:sz="0" w:space="0" w:color="auto"/>
          </w:divBdr>
          <w:divsChild>
            <w:div w:id="17028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0704">
      <w:bodyDiv w:val="1"/>
      <w:marLeft w:val="0"/>
      <w:marRight w:val="0"/>
      <w:marTop w:val="0"/>
      <w:marBottom w:val="0"/>
      <w:divBdr>
        <w:top w:val="none" w:sz="0" w:space="0" w:color="auto"/>
        <w:left w:val="none" w:sz="0" w:space="0" w:color="auto"/>
        <w:bottom w:val="none" w:sz="0" w:space="0" w:color="auto"/>
        <w:right w:val="none" w:sz="0" w:space="0" w:color="auto"/>
      </w:divBdr>
    </w:div>
    <w:div w:id="1966278041">
      <w:bodyDiv w:val="1"/>
      <w:marLeft w:val="0"/>
      <w:marRight w:val="0"/>
      <w:marTop w:val="0"/>
      <w:marBottom w:val="0"/>
      <w:divBdr>
        <w:top w:val="none" w:sz="0" w:space="0" w:color="auto"/>
        <w:left w:val="none" w:sz="0" w:space="0" w:color="auto"/>
        <w:bottom w:val="none" w:sz="0" w:space="0" w:color="auto"/>
        <w:right w:val="none" w:sz="0" w:space="0" w:color="auto"/>
      </w:divBdr>
      <w:divsChild>
        <w:div w:id="14619922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000CB468BC443A5D31C3DC9A658B5" ma:contentTypeVersion="7" ma:contentTypeDescription="Create a new document." ma:contentTypeScope="" ma:versionID="fc2f557f52a45c0ee77f6f4c9b834aaa">
  <xsd:schema xmlns:xsd="http://www.w3.org/2001/XMLSchema" xmlns:xs="http://www.w3.org/2001/XMLSchema" xmlns:p="http://schemas.microsoft.com/office/2006/metadata/properties" xmlns:ns2="9db25171-ad59-4a87-b668-b33a29a7c051" xmlns:ns3="55f5adf4-74f0-43ed-b2da-85ed25cb31c1" targetNamespace="http://schemas.microsoft.com/office/2006/metadata/properties" ma:root="true" ma:fieldsID="c6f3f5f168b02f3422b45160b4c56930" ns2:_="" ns3:_="">
    <xsd:import namespace="9db25171-ad59-4a87-b668-b33a29a7c051"/>
    <xsd:import namespace="55f5adf4-74f0-43ed-b2da-85ed25cb3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171-ad59-4a87-b668-b33a29a7c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description="descriptiom"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5adf4-74f0-43ed-b2da-85ed25cb31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f5adf4-74f0-43ed-b2da-85ed25cb31c1">
      <UserInfo>
        <DisplayName>Ashurst, Sharon</DisplayName>
        <AccountId>18</AccountId>
        <AccountType/>
      </UserInfo>
      <UserInfo>
        <DisplayName>Robson, Louise (SLHD)</DisplayName>
        <AccountId>14</AccountId>
        <AccountType/>
      </UserInfo>
      <UserInfo>
        <DisplayName>Boardman, Daniel</DisplayName>
        <AccountId>35</AccountId>
        <AccountType/>
      </UserInfo>
      <UserInfo>
        <DisplayName>Dougan, Laura</DisplayName>
        <AccountId>56</AccountId>
        <AccountType/>
      </UserInfo>
    </SharedWithUsers>
    <Notes xmlns="9db25171-ad59-4a87-b668-b33a29a7c0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BD94-789D-4523-A8AF-0E8FB4C40F02}">
  <ds:schemaRefs>
    <ds:schemaRef ds:uri="http://schemas.microsoft.com/sharepoint/v3/contenttype/forms"/>
  </ds:schemaRefs>
</ds:datastoreItem>
</file>

<file path=customXml/itemProps2.xml><?xml version="1.0" encoding="utf-8"?>
<ds:datastoreItem xmlns:ds="http://schemas.openxmlformats.org/officeDocument/2006/customXml" ds:itemID="{2A832A17-C213-41DB-B100-818B960A6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171-ad59-4a87-b668-b33a29a7c051"/>
    <ds:schemaRef ds:uri="55f5adf4-74f0-43ed-b2da-85ed25cb3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929E4-9AAF-4E98-89B4-11C4B986E81B}">
  <ds:schemaRefs>
    <ds:schemaRef ds:uri="http://schemas.microsoft.com/office/2006/metadata/properties"/>
    <ds:schemaRef ds:uri="http://schemas.microsoft.com/office/infopath/2007/PartnerControls"/>
    <ds:schemaRef ds:uri="55f5adf4-74f0-43ed-b2da-85ed25cb31c1"/>
    <ds:schemaRef ds:uri="9db25171-ad59-4a87-b668-b33a29a7c051"/>
  </ds:schemaRefs>
</ds:datastoreItem>
</file>

<file path=customXml/itemProps4.xml><?xml version="1.0" encoding="utf-8"?>
<ds:datastoreItem xmlns:ds="http://schemas.openxmlformats.org/officeDocument/2006/customXml" ds:itemID="{8D4A5C5F-C3BC-48A8-86EC-EE960B02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GUIDANCE NOTES</vt:lpstr>
    </vt:vector>
  </TitlesOfParts>
  <Company>DMBC</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dc:title>
  <dc:subject/>
  <dc:creator>DMBC</dc:creator>
  <cp:keywords/>
  <dc:description/>
  <cp:lastModifiedBy>McLaughlin, Lauren</cp:lastModifiedBy>
  <cp:revision>6</cp:revision>
  <cp:lastPrinted>2022-01-31T18:17:00Z</cp:lastPrinted>
  <dcterms:created xsi:type="dcterms:W3CDTF">2025-01-22T20:25:00Z</dcterms:created>
  <dcterms:modified xsi:type="dcterms:W3CDTF">2025-03-24T11:20:00Z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0x010100980000CB468BC443A5D31C3DC9A658B5</vt:lpwstr>
  </property>
  <property fmtid="{D5CDD505-2E9C-101B-9397-08002B2CF9AE}" pid="3" name="Order">
    <vt:r8>74400</vt:r8>
  </property>
</Properties>
</file>